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262626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PROJETO DE LEI Nº ___/2026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bCs w:val="1"/>
          <w:smallCaps w:val="1"/>
          <w:color w:val="000000"/>
        </w:rPr>
      </w:pPr>
      <w:bookmarkStart w:colFirst="0" w:colLast="0" w:name="_heading=h.4u8d7i8imap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EMENTA: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2"/>
          <w:szCs w:val="22"/>
          <w:highlight w:val="white"/>
          <w:rtl w:val="0"/>
        </w:rPr>
        <w:t xml:space="preserve">DISPÕE SOBRE A INSTITUIÇÃO DE NÚCLEO ESPECIALIZADO DE PROTEÇÃO AMBIENTAL E MARÍTIMA NO ÂMBITO DA GUARDA CIVIL MUNICIPAL DE NITERÓI E DÁ OUTRAS PROVIDÊNCIAS </w:t>
      </w:r>
      <w:r w:rsidDel="00000000" w:rsidR="00000000" w:rsidRPr="00000000">
        <w:rPr>
          <w:b w:val="1"/>
          <w:bCs w:val="1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276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566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A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1º</w:t>
      </w:r>
    </w:p>
    <w:p w:rsidR="00000000" w:rsidDel="00000000" w:rsidP="00000000" w:rsidRDefault="00000000" w:rsidRPr="00000000" w14:paraId="0000000C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Fica o Poder Executivo autorizado a instituir, no âmbito da Guarda Civil Municipal de Niterói, núcleo ou coordenadoria especializada voltada à proteção ambiental e marítima, com atuação preventiva nos espaços públicos costeiros e ambientais do Município.</w:t>
      </w:r>
    </w:p>
    <w:p w:rsidR="00000000" w:rsidDel="00000000" w:rsidP="00000000" w:rsidRDefault="00000000" w:rsidRPr="00000000" w14:paraId="0000000D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2º</w:t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atuação do núcleo ou coordenadoria de que trata esta Lei observará as disposições da Constituição Federal, especialmente o art. 144, § 8º, bem como a Lei Federal nº 13.022/2014 (Estatuto Geral das Guardas Municipais).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3º</w:t>
      </w:r>
    </w:p>
    <w:p w:rsidR="00000000" w:rsidDel="00000000" w:rsidP="00000000" w:rsidRDefault="00000000" w:rsidRPr="00000000" w14:paraId="00000012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São diretrizes da atuação do núcleo ou coordenadoria:</w:t>
      </w:r>
    </w:p>
    <w:p w:rsidR="00000000" w:rsidDel="00000000" w:rsidP="00000000" w:rsidRDefault="00000000" w:rsidRPr="00000000" w14:paraId="00000013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a proteção dos bens, serviços e instalações públicas situadas em áreas costeiras, marítimas e lagunares;</w:t>
      </w:r>
    </w:p>
    <w:p w:rsidR="00000000" w:rsidDel="00000000" w:rsidP="00000000" w:rsidRDefault="00000000" w:rsidRPr="00000000" w14:paraId="00000014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a preservação do patrimônio ambiental do Município;</w:t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a prevenção de ilícitos e danos em áreas públicas da orla;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o apoio às ações de fiscalização ambiental municipal;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V – a atuação preventiva e educativa junto à população;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VI – a integração com órgãos municipais, estaduais e federais, respeitadas as competências de cada ente.</w:t>
      </w:r>
    </w:p>
    <w:p w:rsidR="00000000" w:rsidDel="00000000" w:rsidP="00000000" w:rsidRDefault="00000000" w:rsidRPr="00000000" w14:paraId="0000001E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4º</w:t>
      </w:r>
    </w:p>
    <w:p w:rsidR="00000000" w:rsidDel="00000000" w:rsidP="00000000" w:rsidRDefault="00000000" w:rsidRPr="00000000" w14:paraId="00000020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estrutura organizacional, as atribuições específicas, a forma de funcionamento e eventual impacto orçamentário do núcleo ou coordenadoria serão definidos por ato do Poder Executivo.</w:t>
      </w:r>
    </w:p>
    <w:p w:rsidR="00000000" w:rsidDel="00000000" w:rsidP="00000000" w:rsidRDefault="00000000" w:rsidRPr="00000000" w14:paraId="00000021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5º</w:t>
      </w:r>
    </w:p>
    <w:p w:rsidR="00000000" w:rsidDel="00000000" w:rsidP="00000000" w:rsidRDefault="00000000" w:rsidRPr="00000000" w14:paraId="00000023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atuação prevista nesta Lei não implica exercício de competências de polícia marítima ou naval, nem substitui as atribuições da Marinha do Brasil ou de órgãos estaduais.</w:t>
      </w:r>
    </w:p>
    <w:p w:rsidR="00000000" w:rsidDel="00000000" w:rsidP="00000000" w:rsidRDefault="00000000" w:rsidRPr="00000000" w14:paraId="00000024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6º</w:t>
      </w:r>
    </w:p>
    <w:p w:rsidR="00000000" w:rsidDel="00000000" w:rsidP="00000000" w:rsidRDefault="00000000" w:rsidRPr="00000000" w14:paraId="00000026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As despesas decorrentes da execução desta Lei correrão por conta de dotações orçamentárias próprias, suplementadas se necessário.</w:t>
      </w:r>
    </w:p>
    <w:p w:rsidR="00000000" w:rsidDel="00000000" w:rsidP="00000000" w:rsidRDefault="00000000" w:rsidRPr="00000000" w14:paraId="00000027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7º</w:t>
      </w:r>
    </w:p>
    <w:p w:rsidR="00000000" w:rsidDel="00000000" w:rsidP="00000000" w:rsidRDefault="00000000" w:rsidRPr="00000000" w14:paraId="00000029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Esta Lei entra em vigor na data de sua publicação.</w:t>
      </w:r>
    </w:p>
    <w:p w:rsidR="00000000" w:rsidDel="00000000" w:rsidP="00000000" w:rsidRDefault="00000000" w:rsidRPr="00000000" w14:paraId="0000002A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6394"/>
        </w:tabs>
        <w:spacing w:line="360" w:lineRule="auto"/>
        <w:ind w:firstLine="850"/>
        <w:jc w:val="right"/>
        <w:rPr/>
      </w:pPr>
      <w:r w:rsidDel="00000000" w:rsidR="00000000" w:rsidRPr="00000000">
        <w:rPr>
          <w:rtl w:val="0"/>
        </w:rPr>
        <w:t xml:space="preserve">Niterói, 16 de junho de 2026.</w:t>
      </w:r>
    </w:p>
    <w:p w:rsidR="00000000" w:rsidDel="00000000" w:rsidP="00000000" w:rsidRDefault="00000000" w:rsidRPr="00000000" w14:paraId="0000002D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6394"/>
        </w:tabs>
        <w:spacing w:line="360" w:lineRule="auto"/>
        <w:ind w:firstLine="85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ALLAN PINHO LYRA</w:t>
      </w:r>
    </w:p>
    <w:p w:rsidR="00000000" w:rsidDel="00000000" w:rsidP="00000000" w:rsidRDefault="00000000" w:rsidRPr="00000000" w14:paraId="00000031">
      <w:pPr>
        <w:tabs>
          <w:tab w:val="left" w:leader="none" w:pos="6394"/>
        </w:tabs>
        <w:spacing w:line="360" w:lineRule="auto"/>
        <w:ind w:firstLine="85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Vereador - PL</w:t>
      </w:r>
    </w:p>
    <w:p w:rsidR="00000000" w:rsidDel="00000000" w:rsidP="00000000" w:rsidRDefault="00000000" w:rsidRPr="00000000" w14:paraId="00000032">
      <w:pPr>
        <w:tabs>
          <w:tab w:val="left" w:leader="none" w:pos="6394"/>
        </w:tabs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6394"/>
        </w:tabs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JUSTIFICATIVA:</w:t>
      </w:r>
    </w:p>
    <w:p w:rsidR="00000000" w:rsidDel="00000000" w:rsidP="00000000" w:rsidRDefault="00000000" w:rsidRPr="00000000" w14:paraId="00000034">
      <w:pPr>
        <w:tabs>
          <w:tab w:val="left" w:leader="none" w:pos="6394"/>
        </w:tabs>
        <w:spacing w:line="276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 presente Projeto de Lei tem por finalidade autorizar a instituição de núcleo especializado no âmbito da Guarda Civil Municipal, voltado à proteção ambiental e marítima, considerando as características geográficas do Município de Niterói e a necessidade de atuação preventiva em sua extensa faixa litorânea.</w:t>
      </w:r>
    </w:p>
    <w:p w:rsidR="00000000" w:rsidDel="00000000" w:rsidP="00000000" w:rsidRDefault="00000000" w:rsidRPr="00000000" w14:paraId="00000036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medida encontra respaldo no art. 144, § 8º da Constituição Federal e na Lei Federal nº 13.022/2014, que ampliam o papel das Guardas Municipais na proteção preventiva de bens públicos e do meio ambiente.</w:t>
      </w:r>
    </w:p>
    <w:p w:rsidR="00000000" w:rsidDel="00000000" w:rsidP="00000000" w:rsidRDefault="00000000" w:rsidRPr="00000000" w14:paraId="00000038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criação de estrutura especializada permitirá maior eficiência na preservação dos espaços costeiros, no ordenamento do uso das áreas públicas e na integração com órgãos ambientais e de defesa civil, sem sobreposição de competências com a União ou o Estado.</w:t>
      </w:r>
    </w:p>
    <w:p w:rsidR="00000000" w:rsidDel="00000000" w:rsidP="00000000" w:rsidRDefault="00000000" w:rsidRPr="00000000" w14:paraId="0000003A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Trata-se de iniciativa que fortalece a segurança preventiva, a proteção ambiental e a gestão urbana sustentável do Município.</w:t>
      </w:r>
    </w:p>
    <w:p w:rsidR="00000000" w:rsidDel="00000000" w:rsidP="00000000" w:rsidRDefault="00000000" w:rsidRPr="00000000" w14:paraId="0000003C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422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color w:val="262626"/>
      </w:rPr>
    </w:pPr>
    <w:r w:rsidDel="00000000" w:rsidR="00000000" w:rsidRPr="00000000">
      <w:rPr>
        <w:color w:val="262626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rFonts w:ascii="Arial" w:cs="Arial" w:eastAsia="Arial" w:hAnsi="Arial"/>
        <w:color w:val="262626"/>
      </w:rPr>
    </w:pPr>
    <w:r w:rsidDel="00000000" w:rsidR="00000000" w:rsidRPr="00000000">
      <w:rPr>
        <w:color w:val="262626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Bdr>
        <w:bottom w:color="000000" w:space="1" w:sz="4" w:val="single"/>
      </w:pBdr>
      <w:jc w:val="center"/>
      <w:rPr>
        <w:color w:val="000000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36"/>
        <w:szCs w:val="36"/>
      </w:rPr>
    </w:pPr>
    <w:r w:rsidDel="00000000" w:rsidR="00000000" w:rsidRPr="00000000">
      <w:rPr>
        <w:b w:val="1"/>
        <w:bCs w:val="1"/>
        <w:color w:val="000000"/>
        <w:sz w:val="36"/>
        <w:szCs w:val="36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b w:val="1"/>
        <w:bCs w:val="1"/>
        <w:color w:val="000000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bctMiEBEXoAklRfjBoB7COBceg==">CgMxLjAyDmguNHU4ZDdpOGltYXAwOAByITE5RzFPYkRpUEhDYVhIbUtteWpNNjh0Q0hvM0FzN0ZnaA==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