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hd w:fill="ffffff" w:val="clear"/>
        <w:spacing w:after="160" w:line="211.76470588235293" w:lineRule="auto"/>
        <w:jc w:val="center"/>
        <w:rPr>
          <w:b w:val="1"/>
          <w:bCs w:val="1"/>
        </w:rPr>
      </w:pPr>
      <w:bookmarkStart w:colFirst="0" w:colLast="0" w:name="_vug7ffkfy7if" w:id="0"/>
      <w:bookmarkEnd w:id="0"/>
      <w:r w:rsidDel="00000000" w:rsidR="00000000" w:rsidRPr="00000000">
        <w:rPr>
          <w:rFonts w:ascii="Times New Roman" w:cs="Times New Roman" w:eastAsia="Times New Roman" w:hAnsi="Times New Roman"/>
          <w:b w:val="1"/>
          <w:bCs w:val="1"/>
          <w:sz w:val="24"/>
          <w:szCs w:val="24"/>
          <w:rtl w:val="0"/>
        </w:rPr>
        <w:t xml:space="preserve">Projeto de Lei N°          /2026</w:t>
      </w:r>
      <w:r w:rsidDel="00000000" w:rsidR="00000000" w:rsidRPr="00000000">
        <w:rPr>
          <w:rtl w:val="0"/>
        </w:rPr>
      </w:r>
    </w:p>
    <w:p w:rsidR="00000000" w:rsidDel="00000000" w:rsidP="00000000" w:rsidRDefault="00000000" w:rsidRPr="00000000" w14:paraId="00000002">
      <w:pPr>
        <w:spacing w:after="240" w:before="240" w:lineRule="auto"/>
        <w:ind w:left="368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after="240" w:before="240" w:lineRule="auto"/>
        <w:ind w:left="368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Dispõe sobre a proteção de crianças com alergias alimentares graves em ambiente escolar.</w:t>
      </w:r>
    </w:p>
    <w:p w:rsidR="00000000" w:rsidDel="00000000" w:rsidP="00000000" w:rsidRDefault="00000000" w:rsidRPr="00000000" w14:paraId="00000004">
      <w:pPr>
        <w:spacing w:after="240" w:before="240" w:lineRule="auto"/>
        <w:ind w:left="368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Art. 1º</w:t>
      </w:r>
      <w:r w:rsidDel="00000000" w:rsidR="00000000" w:rsidRPr="00000000">
        <w:rPr>
          <w:rFonts w:ascii="Times New Roman" w:cs="Times New Roman" w:eastAsia="Times New Roman" w:hAnsi="Times New Roman"/>
          <w:sz w:val="24"/>
          <w:szCs w:val="24"/>
          <w:rtl w:val="0"/>
        </w:rPr>
        <w:t xml:space="preserve"> Esta Lei estabelece diretrizes destinadas à proteção da saúde, da segurança alimentar e da integridade física de crianças com alergias alimentares graves no ambiente escolar público e privado, no âmbito do Município de Niterói.</w:t>
      </w:r>
    </w:p>
    <w:p w:rsidR="00000000" w:rsidDel="00000000" w:rsidP="00000000" w:rsidRDefault="00000000" w:rsidRPr="00000000" w14:paraId="0000000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Parágrafo Único</w:t>
      </w:r>
      <w:r w:rsidDel="00000000" w:rsidR="00000000" w:rsidRPr="00000000">
        <w:rPr>
          <w:rFonts w:ascii="Times New Roman" w:cs="Times New Roman" w:eastAsia="Times New Roman" w:hAnsi="Times New Roman"/>
          <w:sz w:val="24"/>
          <w:szCs w:val="24"/>
          <w:rtl w:val="0"/>
        </w:rPr>
        <w:t xml:space="preserve">. Considera-se alergia alimentar grave é a forma de hipersensibilidade alimentar caracterizada pelo elevado risco de desencadeamento de reações alérgicas severas, rápidas e potencialmente fatais, mesmo diante de exposição mínima ao alimento alergênico, inclusive por ingestão indireta, contaminação cruzada ou contato com resíduos alimentares. </w:t>
      </w:r>
    </w:p>
    <w:p w:rsidR="00000000" w:rsidDel="00000000" w:rsidP="00000000" w:rsidRDefault="00000000" w:rsidRPr="00000000" w14:paraId="0000000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Art. 2º.</w:t>
      </w:r>
      <w:r w:rsidDel="00000000" w:rsidR="00000000" w:rsidRPr="00000000">
        <w:rPr>
          <w:rFonts w:ascii="Times New Roman" w:cs="Times New Roman" w:eastAsia="Times New Roman" w:hAnsi="Times New Roman"/>
          <w:sz w:val="24"/>
          <w:szCs w:val="24"/>
          <w:rtl w:val="0"/>
        </w:rPr>
        <w:t xml:space="preserve"> A condição de alergia alimentar grave será comprovada mediante apresentação de laudo ou relatório médico que indique as restrições alimentares pertinentes e os cuidados recomendados.</w:t>
      </w:r>
    </w:p>
    <w:p w:rsidR="00000000" w:rsidDel="00000000" w:rsidP="00000000" w:rsidRDefault="00000000" w:rsidRPr="00000000" w14:paraId="00000008">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Art. 3º</w:t>
      </w:r>
      <w:r w:rsidDel="00000000" w:rsidR="00000000" w:rsidRPr="00000000">
        <w:rPr>
          <w:rFonts w:ascii="Times New Roman" w:cs="Times New Roman" w:eastAsia="Times New Roman" w:hAnsi="Times New Roman"/>
          <w:sz w:val="24"/>
          <w:szCs w:val="24"/>
          <w:rtl w:val="0"/>
        </w:rPr>
        <w:t xml:space="preserve"> Fica assegurado aos alunos com diagnóstico de alergia alimentar grave, no âmbito das instituições de ensino públicas e privadas:</w:t>
      </w:r>
    </w:p>
    <w:p w:rsidR="00000000" w:rsidDel="00000000" w:rsidP="00000000" w:rsidRDefault="00000000" w:rsidRPr="00000000" w14:paraId="0000000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o tratamento digno e respeitoso, vedada qualquer forma de discriminação, constrangimento ou exclusão em razão da condição alimentar.</w:t>
      </w:r>
    </w:p>
    <w:p w:rsidR="00000000" w:rsidDel="00000000" w:rsidP="00000000" w:rsidRDefault="00000000" w:rsidRPr="00000000" w14:paraId="0000000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  o direito de levar ao estabelecimento de ensino, armazenar e consumir alimentos adequados às suas necessidades alimentares específicas;</w:t>
      </w:r>
    </w:p>
    <w:p w:rsidR="00000000" w:rsidDel="00000000" w:rsidP="00000000" w:rsidRDefault="00000000" w:rsidRPr="00000000" w14:paraId="0000000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 a adoção de medidas destinadas à prevenção de contaminação cruzada no armazenamento, manuseio e consumo de alimentos;</w:t>
      </w:r>
    </w:p>
    <w:p w:rsidR="00000000" w:rsidDel="00000000" w:rsidP="00000000" w:rsidRDefault="00000000" w:rsidRPr="00000000" w14:paraId="0000000D">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Art. 4º</w:t>
      </w:r>
      <w:r w:rsidDel="00000000" w:rsidR="00000000" w:rsidRPr="00000000">
        <w:rPr>
          <w:rFonts w:ascii="Times New Roman" w:cs="Times New Roman" w:eastAsia="Times New Roman" w:hAnsi="Times New Roman"/>
          <w:sz w:val="24"/>
          <w:szCs w:val="24"/>
          <w:rtl w:val="0"/>
        </w:rPr>
        <w:t xml:space="preserve"> As instituições de ensino públicas e privadas deverão adotar medidas voltadas à proteção de alunos com alergias alimentares graves, de forma não exaustiva, inclusive (ver melhor nomenclatura)</w:t>
      </w:r>
    </w:p>
    <w:p w:rsidR="00000000" w:rsidDel="00000000" w:rsidP="00000000" w:rsidRDefault="00000000" w:rsidRPr="00000000" w14:paraId="0000000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ações de prevenção à exposição inadvertida a alérgenos alimentares;</w:t>
      </w:r>
    </w:p>
    <w:p w:rsidR="00000000" w:rsidDel="00000000" w:rsidP="00000000" w:rsidRDefault="00000000" w:rsidRPr="00000000" w14:paraId="0000001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 comunicação prévia aos responsáveis legais acerca de eventos escolares que envolvam fornecimento ou compartilhamento de alimentos;</w:t>
      </w:r>
    </w:p>
    <w:p w:rsidR="00000000" w:rsidDel="00000000" w:rsidP="00000000" w:rsidRDefault="00000000" w:rsidRPr="00000000" w14:paraId="0000001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III – iniciativas de conscientização da comunidade escolar sobre alergias alimentares e seus riscos;</w:t>
      </w:r>
    </w:p>
    <w:p w:rsidR="00000000" w:rsidDel="00000000" w:rsidP="00000000" w:rsidRDefault="00000000" w:rsidRPr="00000000" w14:paraId="0000001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 – manutenção de registro atualizado dos alunos que apresentem restrições alimentares relevantes, mediante informação dos responsáveis legais.</w:t>
      </w:r>
    </w:p>
    <w:p w:rsidR="00000000" w:rsidDel="00000000" w:rsidP="00000000" w:rsidRDefault="00000000" w:rsidRPr="00000000" w14:paraId="0000001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Art. 5º</w:t>
      </w:r>
      <w:r w:rsidDel="00000000" w:rsidR="00000000" w:rsidRPr="00000000">
        <w:rPr>
          <w:rFonts w:ascii="Times New Roman" w:cs="Times New Roman" w:eastAsia="Times New Roman" w:hAnsi="Times New Roman"/>
          <w:sz w:val="24"/>
          <w:szCs w:val="24"/>
          <w:rtl w:val="0"/>
        </w:rPr>
        <w:t xml:space="preserve"> A implementação das disposições previstas nesta Lei observará os princípios da razoabilidade, da proporcionalidade e da livre iniciativa, sendo vedada a imposição de obrigações excessivas ou desproporcionais às instituições privadas de ensino.</w:t>
      </w:r>
    </w:p>
    <w:p w:rsidR="00000000" w:rsidDel="00000000" w:rsidP="00000000" w:rsidRDefault="00000000" w:rsidRPr="00000000" w14:paraId="0000001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Art. 6º</w:t>
      </w:r>
      <w:r w:rsidDel="00000000" w:rsidR="00000000" w:rsidRPr="00000000">
        <w:rPr>
          <w:rFonts w:ascii="Times New Roman" w:cs="Times New Roman" w:eastAsia="Times New Roman" w:hAnsi="Times New Roman"/>
          <w:sz w:val="24"/>
          <w:szCs w:val="24"/>
          <w:rtl w:val="0"/>
        </w:rPr>
        <w:t xml:space="preserve"> Esta Lei entra em vigor na data de sua publicação.</w:t>
      </w:r>
    </w:p>
    <w:p w:rsidR="00000000" w:rsidDel="00000000" w:rsidP="00000000" w:rsidRDefault="00000000" w:rsidRPr="00000000" w14:paraId="00000015">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6">
      <w:pPr>
        <w:spacing w:after="240" w:befor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Sala das Sessões,  18 de maio de 2026.</w:t>
      </w:r>
    </w:p>
    <w:p w:rsidR="00000000" w:rsidDel="00000000" w:rsidP="00000000" w:rsidRDefault="00000000" w:rsidRPr="00000000" w14:paraId="0000001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8">
      <w:pPr>
        <w:spacing w:after="240" w:before="240" w:lineRule="auto"/>
        <w:jc w:val="center"/>
        <w:rPr>
          <w:b w:val="1"/>
          <w:bCs w:val="1"/>
        </w:rPr>
      </w:pPr>
      <w:r w:rsidDel="00000000" w:rsidR="00000000" w:rsidRPr="00000000">
        <w:rPr>
          <w:rFonts w:ascii="Times New Roman" w:cs="Times New Roman" w:eastAsia="Times New Roman" w:hAnsi="Times New Roman"/>
          <w:sz w:val="24"/>
          <w:szCs w:val="24"/>
        </w:rPr>
        <w:drawing>
          <wp:inline distB="114300" distT="114300" distL="114300" distR="114300">
            <wp:extent cx="2263613" cy="591134"/>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263613" cy="591134"/>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Leonardo Giordano</w:t>
      </w:r>
    </w:p>
    <w:p w:rsidR="00000000" w:rsidDel="00000000" w:rsidP="00000000" w:rsidRDefault="00000000" w:rsidRPr="00000000" w14:paraId="0000001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rtl w:val="0"/>
        </w:rPr>
        <w:t xml:space="preserve">Vereador</w:t>
      </w:r>
      <w:r w:rsidDel="00000000" w:rsidR="00000000" w:rsidRPr="00000000">
        <w:rPr>
          <w:rtl w:val="0"/>
        </w:rPr>
      </w:r>
    </w:p>
    <w:p w:rsidR="00000000" w:rsidDel="00000000" w:rsidP="00000000" w:rsidRDefault="00000000" w:rsidRPr="00000000" w14:paraId="0000001B">
      <w:pPr>
        <w:spacing w:after="240" w:before="24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Justificativa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presente Projeto de Lei tem por finalidade estabelecer diretrizes de proteção à saúde, à segurança alimentar e à integridade física de crianças com alergias alimentares graves no ambiente escolar, assegurando condições mínimas de segurança, inclusão e dignidade no âmbito das instituições de ensino públicas e privadas do Município de Niterói.</w:t>
      </w:r>
    </w:p>
    <w:p w:rsidR="00000000" w:rsidDel="00000000" w:rsidP="00000000" w:rsidRDefault="00000000" w:rsidRPr="00000000" w14:paraId="0000001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alergia alimentar grave constitui condição clínica potencialmente incapacitante e, em determinados casos, fatal, podendo desencadear reações severas mesmo diante de exposição mínima ao alimento alergênico, inclusive por contaminação cruzada. Em ambiente escolar, onde refeições, lanches coletivos e atividades recreativas frequentemente envolvem alimentos, o risco de exposição acidental torna-se significativamente maior, exigindo atenção específica do Poder Público e das instituições de ensino.</w:t>
      </w:r>
    </w:p>
    <w:p w:rsidR="00000000" w:rsidDel="00000000" w:rsidP="00000000" w:rsidRDefault="00000000" w:rsidRPr="00000000" w14:paraId="0000001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proposta não cria obrigações excessivas ou incompatíveis com a realidade das unidades escolares, mas estabelece diretrizes gerais de prevenção, conscientização e acolhimento, em consonância com os princípios constitucionais da proteção integral da criança, da dignidade da pessoa humana, do direito à saúde e da inclusão social.</w:t>
      </w:r>
    </w:p>
    <w:p w:rsidR="00000000" w:rsidDel="00000000" w:rsidP="00000000" w:rsidRDefault="00000000" w:rsidRPr="00000000" w14:paraId="0000001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Município de Niterói constitui importante referência na implementação de políticas públicas voltadas à alimentação escolar saudável e segura. A rede municipal de ensino desenvolve programas permanentes de educação nutricional, cardápios elaborados por nutricionistas e ações voltadas à segurança alimentar dos estudantes. Segundo informações da Fundação Municipal de Educação, as escolas municipais oferecem de duas a quatro refeições diárias e contam com mais de 200 cardápios elaborados ao longo do ano, inclusive com opções específicas destinadas a alunos com restrições alimentares e necessidades alimentares especiais.</w:t>
      </w:r>
    </w:p>
    <w:p w:rsidR="00000000" w:rsidDel="00000000" w:rsidP="00000000" w:rsidRDefault="00000000" w:rsidRPr="00000000" w14:paraId="0000002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política pública adotada em Niterói demonstra que a promoção de alimentação escolar segura e adequada é plenamente compatível com a organização da rede de ensino, sendo possível conciliar alimentação saudável, prevenção de riscos e inclusão de estudantes com condições alimentares específicas. O município também se destaca por iniciativas de conscientização alimentar, capacitação de profissionais da alimentação escolar e incentivo à adoção de práticas nutricionais mais seguras e sustentáveis.</w:t>
      </w:r>
    </w:p>
    <w:p w:rsidR="00000000" w:rsidDel="00000000" w:rsidP="00000000" w:rsidRDefault="00000000" w:rsidRPr="00000000" w14:paraId="0000002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Além disso, a proposição encontra respaldo nas diretrizes do Programa Nacional de Alimentação Escolar (PNAE), que reconhece a alimentação escolar como direito do estudante e prevê atenção às necessidades alimentares específicas dos alunos, especialmente daqueles que apresentam restrições alimentares decorrentes de condições clínicas devidamente comprovadas.</w:t>
      </w:r>
    </w:p>
    <w:p w:rsidR="00000000" w:rsidDel="00000000" w:rsidP="00000000" w:rsidRDefault="00000000" w:rsidRPr="00000000" w14:paraId="0000002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Dessa forma, o presente Projeto de Lei busca promover um ambiente escolar mais seguro, inclusivo e preparado para acolher crianças com alergias alimentares graves, reduzindo riscos à saúde e fortalecendo a proteção integral da infância no Estado do Rio de Janeiro.</w:t>
      </w:r>
    </w:p>
    <w:p w:rsidR="00000000" w:rsidDel="00000000" w:rsidP="00000000" w:rsidRDefault="00000000" w:rsidRPr="00000000" w14:paraId="00000023">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after="240" w:before="24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jc w:val="center"/>
      <w:rPr>
        <w:b w:val="1"/>
        <w:bCs w:val="1"/>
        <w:sz w:val="24"/>
        <w:szCs w:val="24"/>
      </w:rPr>
    </w:pPr>
    <w:r w:rsidDel="00000000" w:rsidR="00000000" w:rsidRPr="00000000">
      <w:rPr>
        <w:b w:val="1"/>
        <w:bCs w:val="1"/>
        <w:sz w:val="24"/>
        <w:szCs w:val="24"/>
      </w:rPr>
      <w:drawing>
        <wp:inline distB="114300" distT="114300" distL="114300" distR="114300">
          <wp:extent cx="609600" cy="74295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b w:val="1"/>
        <w:bCs w:val="1"/>
        <w:sz w:val="24"/>
        <w:szCs w:val="24"/>
      </w:rPr>
    </w:pPr>
    <w:r w:rsidDel="00000000" w:rsidR="00000000" w:rsidRPr="00000000">
      <w:rPr>
        <w:b w:val="1"/>
        <w:bCs w:val="1"/>
        <w:sz w:val="24"/>
        <w:szCs w:val="24"/>
        <w:rtl w:val="0"/>
      </w:rPr>
      <w:t xml:space="preserve">Câmara Municipal de Niterói</w:t>
    </w:r>
  </w:p>
  <w:p w:rsidR="00000000" w:rsidDel="00000000" w:rsidP="00000000" w:rsidRDefault="00000000" w:rsidRPr="00000000" w14:paraId="00000028">
    <w:pPr>
      <w:jc w:val="center"/>
      <w:rPr>
        <w:sz w:val="24"/>
        <w:szCs w:val="24"/>
      </w:rPr>
    </w:pPr>
    <w:r w:rsidDel="00000000" w:rsidR="00000000" w:rsidRPr="00000000">
      <w:rPr>
        <w:sz w:val="24"/>
        <w:szCs w:val="24"/>
        <w:rtl w:val="0"/>
      </w:rPr>
      <w:t xml:space="preserve">Gabinete do Vereador Leonardo Giordano - PCdoB</w:t>
    </w:r>
  </w:p>
  <w:p w:rsidR="00000000" w:rsidDel="00000000" w:rsidP="00000000" w:rsidRDefault="00000000" w:rsidRPr="00000000" w14:paraId="00000029">
    <w:pPr>
      <w:jc w:val="center"/>
      <w:rPr>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