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PROJETO DE LEI Nº        /202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both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 </w:t>
      </w:r>
    </w:p>
    <w:p w:rsidR="00000000" w:rsidDel="00000000" w:rsidP="00000000" w:rsidRDefault="00000000" w:rsidRPr="00000000" w14:paraId="00000003">
      <w:pPr>
        <w:ind w:left="3969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3969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before="240" w:line="360" w:lineRule="auto"/>
        <w:ind w:left="4320" w:firstLine="0"/>
        <w:jc w:val="both"/>
        <w:rPr>
          <w:rFonts w:ascii="Arial" w:cs="Arial" w:eastAsia="Arial" w:hAnsi="Arial"/>
          <w:b w:val="1"/>
          <w:bCs w:val="1"/>
          <w:color w:val="27251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7251e"/>
          <w:rtl w:val="0"/>
        </w:rPr>
        <w:t xml:space="preserve">Institui o Programa Municipal de Agricultura Urbana e Periurbana de Niterói e dá outras providências.</w:t>
      </w:r>
    </w:p>
    <w:p w:rsidR="00000000" w:rsidDel="00000000" w:rsidP="00000000" w:rsidRDefault="00000000" w:rsidRPr="00000000" w14:paraId="00000006">
      <w:pPr>
        <w:ind w:left="3969" w:firstLine="0"/>
        <w:rPr>
          <w:rFonts w:ascii="Arial" w:cs="Arial" w:eastAsia="Arial" w:hAnsi="Arial"/>
        </w:rPr>
      </w:pPr>
      <w:bookmarkStart w:colFirst="0" w:colLast="0" w:name="_heading=h.kaklnm6cwsmi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before="240" w:line="360" w:lineRule="auto"/>
        <w:jc w:val="both"/>
        <w:rPr>
          <w:rFonts w:ascii="Arial" w:cs="Arial" w:eastAsia="Arial" w:hAnsi="Arial"/>
          <w:color w:val="27251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7251e"/>
          <w:rtl w:val="0"/>
        </w:rPr>
        <w:t xml:space="preserve">Art. 1º</w:t>
      </w:r>
      <w:r w:rsidDel="00000000" w:rsidR="00000000" w:rsidRPr="00000000">
        <w:rPr>
          <w:rFonts w:ascii="Arial" w:cs="Arial" w:eastAsia="Arial" w:hAnsi="Arial"/>
          <w:color w:val="27251e"/>
          <w:rtl w:val="0"/>
        </w:rPr>
        <w:t xml:space="preserve"> Fica instituído, no âmbito do Município de Niterói, o Programa Municipal de Agricultura Urbana e Periurbana, como instrumento de fomento à produção de alimentos, à segurança alimentar e nutricional, à sustentabilidade ambiental, à educação socioambiental e ao fortalecimento da função social da cidade e da propriedade.</w:t>
      </w:r>
    </w:p>
    <w:p w:rsidR="00000000" w:rsidDel="00000000" w:rsidP="00000000" w:rsidRDefault="00000000" w:rsidRPr="00000000" w14:paraId="0000000A">
      <w:pPr>
        <w:spacing w:after="120" w:before="240" w:line="360" w:lineRule="auto"/>
        <w:jc w:val="both"/>
        <w:rPr>
          <w:rFonts w:ascii="Arial" w:cs="Arial" w:eastAsia="Arial" w:hAnsi="Arial"/>
          <w:color w:val="27251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7251e"/>
          <w:rtl w:val="0"/>
        </w:rPr>
        <w:t xml:space="preserve">§ 1º</w:t>
      </w:r>
      <w:r w:rsidDel="00000000" w:rsidR="00000000" w:rsidRPr="00000000">
        <w:rPr>
          <w:rFonts w:ascii="Arial" w:cs="Arial" w:eastAsia="Arial" w:hAnsi="Arial"/>
          <w:color w:val="27251e"/>
          <w:rtl w:val="0"/>
        </w:rPr>
        <w:t xml:space="preserve"> Para os fins desta Lei, consideram-se agricultura urbana e periurbana as atividades de produção, processamento, distribuição, comercialização, cultivo comunitário, compostagem, agroecologia e outras práticas correlatas desenvolvidas em áreas urbanas e periurbanas, observada a legislação urbanística, ambiental, sanitária e de posturas vigente.</w:t>
      </w:r>
    </w:p>
    <w:p w:rsidR="00000000" w:rsidDel="00000000" w:rsidP="00000000" w:rsidRDefault="00000000" w:rsidRPr="00000000" w14:paraId="0000000B">
      <w:pPr>
        <w:spacing w:after="120" w:before="240" w:line="360" w:lineRule="auto"/>
        <w:jc w:val="both"/>
        <w:rPr>
          <w:rFonts w:ascii="Arial" w:cs="Arial" w:eastAsia="Arial" w:hAnsi="Arial"/>
          <w:color w:val="27251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7251e"/>
          <w:rtl w:val="0"/>
        </w:rPr>
        <w:t xml:space="preserve">§ 2º</w:t>
      </w:r>
      <w:r w:rsidDel="00000000" w:rsidR="00000000" w:rsidRPr="00000000">
        <w:rPr>
          <w:rFonts w:ascii="Arial" w:cs="Arial" w:eastAsia="Arial" w:hAnsi="Arial"/>
          <w:color w:val="27251e"/>
          <w:rtl w:val="0"/>
        </w:rPr>
        <w:t xml:space="preserve"> O Programa observará as diretrizes do Plano Diretor de Niterói, da Lei Urbanística municipal, da legislação ambiental, da legislação sanitária e das normas de uso e ocupação do solo aplicáveis.</w:t>
      </w:r>
    </w:p>
    <w:p w:rsidR="00000000" w:rsidDel="00000000" w:rsidP="00000000" w:rsidRDefault="00000000" w:rsidRPr="00000000" w14:paraId="0000000C">
      <w:pPr>
        <w:spacing w:after="120" w:before="240" w:line="360" w:lineRule="auto"/>
        <w:jc w:val="both"/>
        <w:rPr>
          <w:rFonts w:ascii="Arial" w:cs="Arial" w:eastAsia="Arial" w:hAnsi="Arial"/>
          <w:color w:val="27251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7251e"/>
          <w:rtl w:val="0"/>
        </w:rPr>
        <w:t xml:space="preserve">Art. 2º</w:t>
      </w:r>
      <w:r w:rsidDel="00000000" w:rsidR="00000000" w:rsidRPr="00000000">
        <w:rPr>
          <w:rFonts w:ascii="Arial" w:cs="Arial" w:eastAsia="Arial" w:hAnsi="Arial"/>
          <w:color w:val="27251e"/>
          <w:rtl w:val="0"/>
        </w:rPr>
        <w:t xml:space="preserve"> São objetivos do Programa:</w:t>
        <w:br w:type="textWrapping"/>
        <w:t xml:space="preserve">I - ampliar o acesso a alimentos saudáveis;</w:t>
        <w:br w:type="textWrapping"/>
        <w:t xml:space="preserve">II - estimular práticas agroecológicas e sustentáveis;</w:t>
        <w:br w:type="textWrapping"/>
        <w:t xml:space="preserve">III - incentivar o aproveitamento de áreas ociosas ou subutilizadas, públicas ou privadas, na forma da legislação vigente;</w:t>
        <w:br w:type="textWrapping"/>
        <w:t xml:space="preserve">IV - fortalecer a educação alimentar e ambiental;</w:t>
        <w:br w:type="textWrapping"/>
        <w:t xml:space="preserve">V - promover geração de renda, inclusão produtiva e economia solidária;</w:t>
        <w:br w:type="textWrapping"/>
        <w:t xml:space="preserve">VI - incentivar a compostagem e o aproveitamento de resíduos orgânicos;</w:t>
        <w:br w:type="textWrapping"/>
        <w:t xml:space="preserve">VII - contribuir para a adaptação e mitigação das mudanças climáticas;</w:t>
        <w:br w:type="textWrapping"/>
        <w:t xml:space="preserve">VIII - valorizar saberes tradicionais, comunitários e territoriais relacionados à produção de alimentos.</w:t>
      </w:r>
    </w:p>
    <w:p w:rsidR="00000000" w:rsidDel="00000000" w:rsidP="00000000" w:rsidRDefault="00000000" w:rsidRPr="00000000" w14:paraId="0000000D">
      <w:pPr>
        <w:spacing w:after="120" w:before="240" w:line="360" w:lineRule="auto"/>
        <w:jc w:val="both"/>
        <w:rPr>
          <w:rFonts w:ascii="Arial" w:cs="Arial" w:eastAsia="Arial" w:hAnsi="Arial"/>
          <w:color w:val="27251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7251e"/>
          <w:rtl w:val="0"/>
        </w:rPr>
        <w:t xml:space="preserve">Art. 3º</w:t>
      </w:r>
      <w:r w:rsidDel="00000000" w:rsidR="00000000" w:rsidRPr="00000000">
        <w:rPr>
          <w:rFonts w:ascii="Arial" w:cs="Arial" w:eastAsia="Arial" w:hAnsi="Arial"/>
          <w:color w:val="27251e"/>
          <w:rtl w:val="0"/>
        </w:rPr>
        <w:t xml:space="preserve"> São diretrizes do Programa:</w:t>
        <w:br w:type="textWrapping"/>
        <w:t xml:space="preserve">I - articulação intersetorial entre as áreas de urbanismo, meio ambiente, saúde, educação, assistência social, agricultura, abastecimento e desenvolvimento econômico;</w:t>
        <w:br w:type="textWrapping"/>
        <w:t xml:space="preserve">II - prioridade de atendimento a territórios de vulnerabilidade social e alimentar;</w:t>
        <w:br w:type="textWrapping"/>
        <w:t xml:space="preserve">III - promoção da participação social;</w:t>
        <w:br w:type="textWrapping"/>
        <w:t xml:space="preserve">IV - incentivo a parcerias com universidades, entidades da sociedade civil, cooperativas e organizações comunitárias;</w:t>
        <w:br w:type="textWrapping"/>
        <w:t xml:space="preserve">V - respeito às regras sanitárias, ambientais, urbanísticas e de vizinhança;</w:t>
        <w:br w:type="textWrapping"/>
        <w:t xml:space="preserve">VI - compatibilização com o planejamento urbano e territorial do Município.</w:t>
      </w:r>
    </w:p>
    <w:p w:rsidR="00000000" w:rsidDel="00000000" w:rsidP="00000000" w:rsidRDefault="00000000" w:rsidRPr="00000000" w14:paraId="0000000E">
      <w:pPr>
        <w:spacing w:after="120" w:before="240" w:line="360" w:lineRule="auto"/>
        <w:jc w:val="both"/>
        <w:rPr>
          <w:rFonts w:ascii="Arial" w:cs="Arial" w:eastAsia="Arial" w:hAnsi="Arial"/>
          <w:color w:val="27251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7251e"/>
          <w:rtl w:val="0"/>
        </w:rPr>
        <w:t xml:space="preserve">Art. 4º</w:t>
      </w:r>
      <w:r w:rsidDel="00000000" w:rsidR="00000000" w:rsidRPr="00000000">
        <w:rPr>
          <w:rFonts w:ascii="Arial" w:cs="Arial" w:eastAsia="Arial" w:hAnsi="Arial"/>
          <w:color w:val="27251e"/>
          <w:rtl w:val="0"/>
        </w:rPr>
        <w:t xml:space="preserve"> O Poder Público Municipal poderá desenvolver, diretamente ou em cooperação com outros entes federativos, instituições de ensino, organizações da sociedade civil, cooperativas e associações, ações voltadas a:</w:t>
        <w:br w:type="textWrapping"/>
        <w:t xml:space="preserve">I - implantação e apoio a hortas comunitárias, escolares, institucionais e em unidades de saúde e assistência social;</w:t>
        <w:br w:type="textWrapping"/>
        <w:t xml:space="preserve">II - capacitação técnica e formação em agroecologia, compostagem e produção sustentável;</w:t>
        <w:br w:type="textWrapping"/>
        <w:t xml:space="preserve">III - mapeamento de áreas com potencial para agricultura urbana e periurbana;</w:t>
        <w:br w:type="textWrapping"/>
        <w:t xml:space="preserve">IV - apoio à comercialização em feiras, mercados, circuitos curtos e iniciativas solidárias;</w:t>
        <w:br w:type="textWrapping"/>
        <w:t xml:space="preserve">V - incentivo à compostagem comunitária e descentralizada;</w:t>
        <w:br w:type="textWrapping"/>
        <w:t xml:space="preserve">VI - apoio a projetos de educação alimentar e ambiental.</w:t>
      </w:r>
    </w:p>
    <w:p w:rsidR="00000000" w:rsidDel="00000000" w:rsidP="00000000" w:rsidRDefault="00000000" w:rsidRPr="00000000" w14:paraId="0000000F">
      <w:pPr>
        <w:spacing w:after="120" w:before="240" w:line="360" w:lineRule="auto"/>
        <w:jc w:val="both"/>
        <w:rPr>
          <w:rFonts w:ascii="Arial" w:cs="Arial" w:eastAsia="Arial" w:hAnsi="Arial"/>
          <w:color w:val="27251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7251e"/>
          <w:rtl w:val="0"/>
        </w:rPr>
        <w:t xml:space="preserve">Art. 5º</w:t>
      </w:r>
      <w:r w:rsidDel="00000000" w:rsidR="00000000" w:rsidRPr="00000000">
        <w:rPr>
          <w:rFonts w:ascii="Arial" w:cs="Arial" w:eastAsia="Arial" w:hAnsi="Arial"/>
          <w:color w:val="27251e"/>
          <w:rtl w:val="0"/>
        </w:rPr>
        <w:t xml:space="preserve"> A destinação de áreas públicas para atividades de agricultura urbana e periurbana poderá ocorrer mediante instrumento jurídico próprio, observada a conveniência administrativa, o interesse público, a legislação patrimonial e urbanística aplicável, bem como os procedimentos de seleção e gestão definidos pelo Poder Executivo.</w:t>
      </w:r>
    </w:p>
    <w:p w:rsidR="00000000" w:rsidDel="00000000" w:rsidP="00000000" w:rsidRDefault="00000000" w:rsidRPr="00000000" w14:paraId="00000010">
      <w:pPr>
        <w:spacing w:after="120" w:before="240" w:line="360" w:lineRule="auto"/>
        <w:jc w:val="both"/>
        <w:rPr>
          <w:rFonts w:ascii="Arial" w:cs="Arial" w:eastAsia="Arial" w:hAnsi="Arial"/>
          <w:color w:val="27251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7251e"/>
          <w:rtl w:val="0"/>
        </w:rPr>
        <w:t xml:space="preserve">Art. 6º</w:t>
      </w:r>
      <w:r w:rsidDel="00000000" w:rsidR="00000000" w:rsidRPr="00000000">
        <w:rPr>
          <w:rFonts w:ascii="Arial" w:cs="Arial" w:eastAsia="Arial" w:hAnsi="Arial"/>
          <w:color w:val="27251e"/>
          <w:rtl w:val="0"/>
        </w:rPr>
        <w:t xml:space="preserve"> A utilização de imóveis privados para fins de agricultura urbana e periurbana dependerá de adesão voluntária do proprietário ou possuidor e da observância da legislação aplicável, não gerando qualquer limitação automática ao direito de propriedade fora das hipóteses legalmente previstas.</w:t>
      </w:r>
    </w:p>
    <w:p w:rsidR="00000000" w:rsidDel="00000000" w:rsidP="00000000" w:rsidRDefault="00000000" w:rsidRPr="00000000" w14:paraId="00000011">
      <w:pPr>
        <w:spacing w:after="120" w:before="240" w:line="360" w:lineRule="auto"/>
        <w:jc w:val="both"/>
        <w:rPr>
          <w:rFonts w:ascii="Arial" w:cs="Arial" w:eastAsia="Arial" w:hAnsi="Arial"/>
          <w:color w:val="27251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7251e"/>
          <w:rtl w:val="0"/>
        </w:rPr>
        <w:t xml:space="preserve">Art. 7º</w:t>
      </w:r>
      <w:r w:rsidDel="00000000" w:rsidR="00000000" w:rsidRPr="00000000">
        <w:rPr>
          <w:rFonts w:ascii="Arial" w:cs="Arial" w:eastAsia="Arial" w:hAnsi="Arial"/>
          <w:color w:val="27251e"/>
          <w:rtl w:val="0"/>
        </w:rPr>
        <w:t xml:space="preserve"> O Poder Executivo poderá instituir, na forma da legislação vigente e por ato próprio, mecanismos de coordenação, acompanhamento e avaliação do Programa, inclusive por meio de designação de unidade administrativa já existente e de instâncias de participação social.</w:t>
      </w:r>
    </w:p>
    <w:p w:rsidR="00000000" w:rsidDel="00000000" w:rsidP="00000000" w:rsidRDefault="00000000" w:rsidRPr="00000000" w14:paraId="00000012">
      <w:pPr>
        <w:spacing w:after="120" w:before="240" w:line="360" w:lineRule="auto"/>
        <w:jc w:val="both"/>
        <w:rPr>
          <w:rFonts w:ascii="Arial" w:cs="Arial" w:eastAsia="Arial" w:hAnsi="Arial"/>
          <w:color w:val="27251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7251e"/>
          <w:rtl w:val="0"/>
        </w:rPr>
        <w:t xml:space="preserve">Parágrafo único.</w:t>
      </w:r>
      <w:r w:rsidDel="00000000" w:rsidR="00000000" w:rsidRPr="00000000">
        <w:rPr>
          <w:rFonts w:ascii="Arial" w:cs="Arial" w:eastAsia="Arial" w:hAnsi="Arial"/>
          <w:color w:val="27251e"/>
          <w:rtl w:val="0"/>
        </w:rPr>
        <w:t xml:space="preserve"> A composição, o funcionamento e as atribuições das instâncias participativas observarão regulamento próprio, sem criação automática de novos órgãos por esta Lei.</w:t>
      </w:r>
    </w:p>
    <w:p w:rsidR="00000000" w:rsidDel="00000000" w:rsidP="00000000" w:rsidRDefault="00000000" w:rsidRPr="00000000" w14:paraId="00000013">
      <w:pPr>
        <w:spacing w:after="120" w:before="240" w:line="360" w:lineRule="auto"/>
        <w:jc w:val="both"/>
        <w:rPr>
          <w:rFonts w:ascii="Arial" w:cs="Arial" w:eastAsia="Arial" w:hAnsi="Arial"/>
          <w:color w:val="27251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7251e"/>
          <w:rtl w:val="0"/>
        </w:rPr>
        <w:t xml:space="preserve">Art. 8º</w:t>
      </w:r>
      <w:r w:rsidDel="00000000" w:rsidR="00000000" w:rsidRPr="00000000">
        <w:rPr>
          <w:rFonts w:ascii="Arial" w:cs="Arial" w:eastAsia="Arial" w:hAnsi="Arial"/>
          <w:color w:val="27251e"/>
          <w:rtl w:val="0"/>
        </w:rPr>
        <w:t xml:space="preserve"> O Município poderá priorizar, nas ações do Programa, comunidades, coletivos e grupos sociais em situação de vulnerabilidade social e alimentar, bem como projetos desenvolvidos por mulheres, jovens, povos e comunidades tradicionais, agricultores urbanos e periurbanos e organizações comunitárias.</w:t>
      </w:r>
    </w:p>
    <w:p w:rsidR="00000000" w:rsidDel="00000000" w:rsidP="00000000" w:rsidRDefault="00000000" w:rsidRPr="00000000" w14:paraId="00000014">
      <w:pPr>
        <w:spacing w:after="120" w:before="240" w:line="360" w:lineRule="auto"/>
        <w:jc w:val="both"/>
        <w:rPr>
          <w:rFonts w:ascii="Arial" w:cs="Arial" w:eastAsia="Arial" w:hAnsi="Arial"/>
          <w:color w:val="27251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7251e"/>
          <w:rtl w:val="0"/>
        </w:rPr>
        <w:t xml:space="preserve">Art. 9º</w:t>
      </w:r>
      <w:r w:rsidDel="00000000" w:rsidR="00000000" w:rsidRPr="00000000">
        <w:rPr>
          <w:rFonts w:ascii="Arial" w:cs="Arial" w:eastAsia="Arial" w:hAnsi="Arial"/>
          <w:color w:val="27251e"/>
          <w:rtl w:val="0"/>
        </w:rPr>
        <w:t xml:space="preserve"> O Poder Executivo poderá firmar convênios, termos de cooperação, termos de fomento, termos de colaboração e outros instrumentos congêneres, observada a legislação pertinente.</w:t>
      </w:r>
    </w:p>
    <w:p w:rsidR="00000000" w:rsidDel="00000000" w:rsidP="00000000" w:rsidRDefault="00000000" w:rsidRPr="00000000" w14:paraId="00000015">
      <w:pPr>
        <w:spacing w:after="120" w:before="240" w:line="360" w:lineRule="auto"/>
        <w:jc w:val="both"/>
        <w:rPr>
          <w:rFonts w:ascii="Arial" w:cs="Arial" w:eastAsia="Arial" w:hAnsi="Arial"/>
          <w:color w:val="27251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7251e"/>
          <w:rtl w:val="0"/>
        </w:rPr>
        <w:t xml:space="preserve">Art. 10.</w:t>
      </w:r>
      <w:r w:rsidDel="00000000" w:rsidR="00000000" w:rsidRPr="00000000">
        <w:rPr>
          <w:rFonts w:ascii="Arial" w:cs="Arial" w:eastAsia="Arial" w:hAnsi="Arial"/>
          <w:color w:val="27251e"/>
          <w:rtl w:val="0"/>
        </w:rPr>
        <w:t xml:space="preserve"> As despesas decorrentes da execução desta Lei correrão por conta de dotações orçamentárias próprias, suplementadas se necessário, observada a legislação orçamentária vigente.</w:t>
      </w:r>
    </w:p>
    <w:p w:rsidR="00000000" w:rsidDel="00000000" w:rsidP="00000000" w:rsidRDefault="00000000" w:rsidRPr="00000000" w14:paraId="00000016">
      <w:pPr>
        <w:spacing w:after="120" w:before="240" w:line="360" w:lineRule="auto"/>
        <w:jc w:val="both"/>
        <w:rPr>
          <w:rFonts w:ascii="Arial" w:cs="Arial" w:eastAsia="Arial" w:hAnsi="Arial"/>
          <w:color w:val="27251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7251e"/>
          <w:rtl w:val="0"/>
        </w:rPr>
        <w:t xml:space="preserve">Art. 11.</w:t>
      </w:r>
      <w:r w:rsidDel="00000000" w:rsidR="00000000" w:rsidRPr="00000000">
        <w:rPr>
          <w:rFonts w:ascii="Arial" w:cs="Arial" w:eastAsia="Arial" w:hAnsi="Arial"/>
          <w:color w:val="27251e"/>
          <w:rtl w:val="0"/>
        </w:rPr>
        <w:t xml:space="preserve"> Esta Lei será regulamentada pelo Poder Executivo, no que couber.</w:t>
      </w:r>
    </w:p>
    <w:p w:rsidR="00000000" w:rsidDel="00000000" w:rsidP="00000000" w:rsidRDefault="00000000" w:rsidRPr="00000000" w14:paraId="00000017">
      <w:pPr>
        <w:spacing w:after="120" w:before="240" w:line="360" w:lineRule="auto"/>
        <w:jc w:val="both"/>
        <w:rPr>
          <w:rFonts w:ascii="Arial" w:cs="Arial" w:eastAsia="Arial" w:hAnsi="Arial"/>
          <w:color w:val="27251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7251e"/>
          <w:rtl w:val="0"/>
        </w:rPr>
        <w:t xml:space="preserve">Art. 12.</w:t>
      </w:r>
      <w:r w:rsidDel="00000000" w:rsidR="00000000" w:rsidRPr="00000000">
        <w:rPr>
          <w:rFonts w:ascii="Arial" w:cs="Arial" w:eastAsia="Arial" w:hAnsi="Arial"/>
          <w:color w:val="27251e"/>
          <w:rtl w:val="0"/>
        </w:rPr>
        <w:t xml:space="preserve"> Esta Lei entra em vigor na data de sua publicação.</w:t>
      </w:r>
    </w:p>
    <w:p w:rsidR="00000000" w:rsidDel="00000000" w:rsidP="00000000" w:rsidRDefault="00000000" w:rsidRPr="00000000" w14:paraId="00000018">
      <w:pPr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right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right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right"/>
        <w:rPr>
          <w:rFonts w:ascii="Arial" w:cs="Arial" w:eastAsia="Arial" w:hAnsi="Arial"/>
        </w:rPr>
      </w:pPr>
      <w:bookmarkStart w:colFirst="0" w:colLast="0" w:name="_heading=h.dwffru1u1lup" w:id="1"/>
      <w:bookmarkEnd w:id="1"/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Plenário Brígido Tinoco, </w:t>
      </w:r>
      <w:r w:rsidDel="00000000" w:rsidR="00000000" w:rsidRPr="00000000">
        <w:rPr>
          <w:rFonts w:ascii="Arial" w:cs="Arial" w:eastAsia="Arial" w:hAnsi="Arial"/>
          <w:rtl w:val="0"/>
        </w:rPr>
        <w:t xml:space="preserve">27 de maio de 2026. </w:t>
      </w:r>
    </w:p>
    <w:p w:rsidR="00000000" w:rsidDel="00000000" w:rsidP="00000000" w:rsidRDefault="00000000" w:rsidRPr="00000000" w14:paraId="0000001C">
      <w:pPr>
        <w:jc w:val="right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Professor Tulio</w:t>
      </w:r>
    </w:p>
    <w:p w:rsidR="00000000" w:rsidDel="00000000" w:rsidP="00000000" w:rsidRDefault="00000000" w:rsidRPr="00000000" w14:paraId="00000020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mk0jinqmv1zk" w:id="2"/>
      <w:bookmarkEnd w:id="2"/>
      <w:r w:rsidDel="00000000" w:rsidR="00000000" w:rsidRPr="00000000">
        <w:rPr>
          <w:rFonts w:ascii="Arial" w:cs="Arial" w:eastAsia="Arial" w:hAnsi="Arial"/>
          <w:rtl w:val="0"/>
        </w:rPr>
        <w:t xml:space="preserve">O presente Projeto de Lei tem por objetivo instituir o Programa Municipal de Agricultura Urbana e Periurbana no Município de Niterói, como instrumento de promoção da segurança alimentar e nutricional, da sustentabilidade ambiental, da educação socioambiental e do fortalecimento da função social da cidade e da propriedade urbana.</w:t>
      </w:r>
    </w:p>
    <w:p w:rsidR="00000000" w:rsidDel="00000000" w:rsidP="00000000" w:rsidRDefault="00000000" w:rsidRPr="00000000" w14:paraId="00000027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mk0jinqmv1zk" w:id="2"/>
      <w:bookmarkEnd w:id="2"/>
      <w:r w:rsidDel="00000000" w:rsidR="00000000" w:rsidRPr="00000000">
        <w:rPr>
          <w:rFonts w:ascii="Arial" w:cs="Arial" w:eastAsia="Arial" w:hAnsi="Arial"/>
          <w:rtl w:val="0"/>
        </w:rPr>
        <w:t xml:space="preserve">A agricultura urbana e periurbana vem sendo reconhecida nacional e internacionalmente como importante estratégia de desenvolvimento sustentável, especialmente diante dos desafios contemporâneos relacionados às mudanças climáticas, à insegurança alimentar, à gestão de resíduos orgânicos, à ocupação sustentável do território urbano e à promoção da qualidade de vida nas cidades.</w:t>
      </w:r>
    </w:p>
    <w:p w:rsidR="00000000" w:rsidDel="00000000" w:rsidP="00000000" w:rsidRDefault="00000000" w:rsidRPr="00000000" w14:paraId="00000028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mk0jinqmv1zk" w:id="2"/>
      <w:bookmarkEnd w:id="2"/>
      <w:r w:rsidDel="00000000" w:rsidR="00000000" w:rsidRPr="00000000">
        <w:rPr>
          <w:rFonts w:ascii="Arial" w:cs="Arial" w:eastAsia="Arial" w:hAnsi="Arial"/>
          <w:rtl w:val="0"/>
        </w:rPr>
        <w:t xml:space="preserve">Além de contribuir para o acesso a alimentos saudáveis e para a promoção da alimentação adequada, tais iniciativas fortalecem vínculos comunitários, estimulam práticas agroecológicas, incentivam a compostagem e o reaproveitamento de resíduos orgânicos, promovem educação ambiental e alimentar, bem como ampliam oportunidades de geração de renda, economia solidária e inclusão produtiva.</w:t>
      </w:r>
    </w:p>
    <w:p w:rsidR="00000000" w:rsidDel="00000000" w:rsidP="00000000" w:rsidRDefault="00000000" w:rsidRPr="00000000" w14:paraId="00000029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mk0jinqmv1zk" w:id="2"/>
      <w:bookmarkEnd w:id="2"/>
      <w:r w:rsidDel="00000000" w:rsidR="00000000" w:rsidRPr="00000000">
        <w:rPr>
          <w:rFonts w:ascii="Arial" w:cs="Arial" w:eastAsia="Arial" w:hAnsi="Arial"/>
          <w:rtl w:val="0"/>
        </w:rPr>
        <w:t xml:space="preserve">Em municípios urbanos e densamente ocupados como Niterói, a valorização de hortas comunitárias, escolares, institucionais e territoriais representa também importante mecanismo de resiliência urbana e adaptação climática, contribuindo para a ampliação de áreas verdes, melhoria microclimática, fortalecimento do uso social dos espaços urbanos e incentivo à participação cidadã.</w:t>
      </w:r>
    </w:p>
    <w:p w:rsidR="00000000" w:rsidDel="00000000" w:rsidP="00000000" w:rsidRDefault="00000000" w:rsidRPr="00000000" w14:paraId="0000002A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mk0jinqmv1zk" w:id="2"/>
      <w:bookmarkEnd w:id="2"/>
      <w:r w:rsidDel="00000000" w:rsidR="00000000" w:rsidRPr="00000000">
        <w:rPr>
          <w:rFonts w:ascii="Arial" w:cs="Arial" w:eastAsia="Arial" w:hAnsi="Arial"/>
          <w:rtl w:val="0"/>
        </w:rPr>
        <w:t xml:space="preserve">Importante destacar que o Município já possui experiência administrativa relacionada ao tema, especialmente por meio do Decreto Municipal nº 13.771/2020, que instituiu o Programa Municipal de Agroecologia Urbana – “Niterói Agroecológico”. Desde então, diversas iniciativas vêm sendo desenvolvidas pela administração pública municipal, incluindo ações de apoio a produtores agroecológicos, capacitação, compostagem, feiras agroecológicas, agricultura familiar e incentivo à segurança alimentar.</w:t>
      </w:r>
    </w:p>
    <w:p w:rsidR="00000000" w:rsidDel="00000000" w:rsidP="00000000" w:rsidRDefault="00000000" w:rsidRPr="00000000" w14:paraId="0000002B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mk0jinqmv1zk" w:id="2"/>
      <w:bookmarkEnd w:id="2"/>
      <w:r w:rsidDel="00000000" w:rsidR="00000000" w:rsidRPr="00000000">
        <w:rPr>
          <w:rFonts w:ascii="Arial" w:cs="Arial" w:eastAsia="Arial" w:hAnsi="Arial"/>
          <w:rtl w:val="0"/>
        </w:rPr>
        <w:t xml:space="preserve">Entretanto, embora relevante, o decreto possui natureza administrativa e infralegal, estando sujeito a alterações, revogações ou descontinuidade por ato unilateral do Poder Executivo. Nesse sentido, a presente proposição busca conferir maior robustez jurídica, estabilidade institucional e continuidade à política pública municipal de agricultura urbana e periurbana, mediante sua consolidação em norma legal aprovada pelo Poder Legislativo.</w:t>
      </w:r>
    </w:p>
    <w:p w:rsidR="00000000" w:rsidDel="00000000" w:rsidP="00000000" w:rsidRDefault="00000000" w:rsidRPr="00000000" w14:paraId="0000002C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mk0jinqmv1zk" w:id="2"/>
      <w:bookmarkEnd w:id="2"/>
      <w:r w:rsidDel="00000000" w:rsidR="00000000" w:rsidRPr="00000000">
        <w:rPr>
          <w:rFonts w:ascii="Arial" w:cs="Arial" w:eastAsia="Arial" w:hAnsi="Arial"/>
          <w:rtl w:val="0"/>
        </w:rPr>
        <w:t xml:space="preserve">A institucionalização do programa por meio de lei fortalece a segurança jurídica das ações públicas correlatas, amplia a previsibilidade administrativa e assegura maior permanência às políticas de incentivo à produção sustentável de alimentos no território municipal. O projeto busca estabelecer diretrizes gerais para atuação do Poder Público Municipal, respeitando integralmente as competências do Poder Executivo, sem criação de cargos, órgãos ou despesas obrigatórias específicas, observando ainda a legislação urbanística, ambiental, sanitária e patrimonial vigente. Nesse sentido, a proposta encontra compatibilidade com o Plano Diretor e com a Lei Urbanística Municipal nº 3.905/2024, instrumentos fundamentais para o desenvolvimento sustentável e o ordenamento territorial da cidade.</w:t>
      </w:r>
    </w:p>
    <w:p w:rsidR="00000000" w:rsidDel="00000000" w:rsidP="00000000" w:rsidRDefault="00000000" w:rsidRPr="00000000" w14:paraId="0000002D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mk0jinqmv1zk" w:id="2"/>
      <w:bookmarkEnd w:id="2"/>
      <w:r w:rsidDel="00000000" w:rsidR="00000000" w:rsidRPr="00000000">
        <w:rPr>
          <w:rFonts w:ascii="Arial" w:cs="Arial" w:eastAsia="Arial" w:hAnsi="Arial"/>
          <w:rtl w:val="0"/>
        </w:rPr>
        <w:t xml:space="preserve">A proposta também se harmoniza com os princípios constitucionais da função social da cidade e da propriedade, da proteção ao meio ambiente ecologicamente equilibrado e da promoção do desenvolvimento sustentável, em consonância com o Estatuto da Cidade, com os Objetivos de Desenvolvimento Sustentável da Agenda 2030 da Organização das Nações Unidas e com as diretrizes do planejamento urbano municipal.</w:t>
      </w:r>
    </w:p>
    <w:p w:rsidR="00000000" w:rsidDel="00000000" w:rsidP="00000000" w:rsidRDefault="00000000" w:rsidRPr="00000000" w14:paraId="0000002E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mk0jinqmv1zk" w:id="2"/>
      <w:bookmarkEnd w:id="2"/>
      <w:r w:rsidDel="00000000" w:rsidR="00000000" w:rsidRPr="00000000">
        <w:rPr>
          <w:rFonts w:ascii="Arial" w:cs="Arial" w:eastAsia="Arial" w:hAnsi="Arial"/>
          <w:rtl w:val="0"/>
        </w:rPr>
        <w:t xml:space="preserve">Importante destacar que diversas cidades brasileiras vêm adotando políticas públicas voltadas à agricultura urbana como ferramenta de promoção da sustentabilidade, da segurança alimentar e da justiça socioambiental, demonstrando os impactos positivos dessas iniciativas na vida urbana contemporânea. Dessa forma, o presente Projeto de Lei representa medida de relevante interesse público, voltada à promoção de uma cidade mais sustentável, resiliente, inclusiva e socialmente justa, razão pela qual se solicita o apoio dos nobres Parlamentares para sua aprovação.</w:t>
      </w:r>
    </w:p>
    <w:p w:rsidR="00000000" w:rsidDel="00000000" w:rsidP="00000000" w:rsidRDefault="00000000" w:rsidRPr="00000000" w14:paraId="0000002F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7" w:w="11905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rPr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3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bookmarkStart w:colFirst="0" w:colLast="0" w:name="_heading=h.22mfpbtpb4o2" w:id="3"/>
          <w:bookmarkEnd w:id="3"/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-387348</wp:posOffset>
                </wp:positionH>
                <wp:positionV relativeFrom="paragraph">
                  <wp:posOffset>9525</wp:posOffset>
                </wp:positionV>
                <wp:extent cx="828675" cy="1018540"/>
                <wp:effectExtent b="0" l="0" r="0" t="0"/>
                <wp:wrapNone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3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  <w:tab w:val="left" w:leader="none" w:pos="675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3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Vereador Professor Tulio</w:t>
          </w:r>
        </w:p>
        <w:p w:rsidR="00000000" w:rsidDel="00000000" w:rsidP="00000000" w:rsidRDefault="00000000" w:rsidRPr="00000000" w14:paraId="0000003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lNrwJpJLWRGrdG05Spt9dstmuQ==">CgMxLjAyDmgua2FrbG5tNmN3c21pMg5oLmR3ZmZydTF1MWx1cDIOaC5tazBqaW5xbXYxemsyDmgubWswamlucW12MXprMg5oLm1rMGppbnFtdjF6azIOaC5tazBqaW5xbXYxemsyDmgubWswamlucW12MXprMg5oLm1rMGppbnFtdjF6azIOaC5tazBqaW5xbXYxemsyDmgubWswamlucW12MXprMg5oLm1rMGppbnFtdjF6azIOaC4yMm1mcGJ0cGI0bzI4AHIhMXRJcl8tRnhvZFFJRElWb1BRSUN6TWd1Y3ZMMTY1QTJ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