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7244C" w14:textId="77777777" w:rsidR="009C6C9F" w:rsidRPr="001854BD" w:rsidRDefault="009C6C9F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19B5E57C" w14:textId="115EC4F8" w:rsidR="001267A8" w:rsidRPr="001854BD" w:rsidRDefault="00C5470B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Projeto de Lei</w:t>
      </w:r>
      <w:r w:rsidR="002675D4" w:rsidRPr="001854BD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335159" w:rsidRPr="001854BD">
        <w:rPr>
          <w:rFonts w:asciiTheme="minorHAnsi" w:hAnsiTheme="minorHAnsi" w:cstheme="minorHAnsi"/>
          <w:i w:val="0"/>
          <w:sz w:val="24"/>
          <w:szCs w:val="24"/>
        </w:rPr>
        <w:t>Nº      /20</w:t>
      </w:r>
      <w:r w:rsidR="00E00197" w:rsidRPr="001854BD">
        <w:rPr>
          <w:rFonts w:asciiTheme="minorHAnsi" w:hAnsiTheme="minorHAnsi" w:cstheme="minorHAnsi"/>
          <w:i w:val="0"/>
          <w:sz w:val="24"/>
          <w:szCs w:val="24"/>
        </w:rPr>
        <w:t>2</w:t>
      </w:r>
      <w:r w:rsidR="009C6C9F" w:rsidRPr="001854BD">
        <w:rPr>
          <w:rFonts w:asciiTheme="minorHAnsi" w:hAnsiTheme="minorHAnsi" w:cstheme="minorHAnsi"/>
          <w:i w:val="0"/>
          <w:sz w:val="24"/>
          <w:szCs w:val="24"/>
        </w:rPr>
        <w:t>6</w:t>
      </w:r>
    </w:p>
    <w:p w14:paraId="42D5CA62" w14:textId="77777777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652729CA" w14:textId="77562BC9" w:rsidR="00C247BE" w:rsidRPr="00F3065E" w:rsidRDefault="00F3065E" w:rsidP="00F3065E">
      <w:pPr>
        <w:ind w:left="3540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F3065E">
        <w:rPr>
          <w:rFonts w:asciiTheme="minorHAnsi" w:hAnsiTheme="minorHAnsi" w:cstheme="minorHAnsi"/>
          <w:i w:val="0"/>
          <w:sz w:val="24"/>
          <w:szCs w:val="24"/>
        </w:rPr>
        <w:t xml:space="preserve">DISPÕE SOBRE A DISPONIBILIZAÇÃO FACULTATIVA DE </w:t>
      </w:r>
      <w:r>
        <w:rPr>
          <w:rFonts w:asciiTheme="minorHAnsi" w:hAnsiTheme="minorHAnsi" w:cstheme="minorHAnsi"/>
          <w:i w:val="0"/>
          <w:sz w:val="24"/>
          <w:szCs w:val="24"/>
        </w:rPr>
        <w:t>“</w:t>
      </w:r>
      <w:r w:rsidRPr="00F3065E">
        <w:rPr>
          <w:rFonts w:asciiTheme="minorHAnsi" w:hAnsiTheme="minorHAnsi" w:cstheme="minorHAnsi"/>
          <w:i w:val="0"/>
          <w:sz w:val="24"/>
          <w:szCs w:val="24"/>
        </w:rPr>
        <w:t>BANHEIROS SEM GÊNERO</w:t>
      </w:r>
      <w:r>
        <w:rPr>
          <w:rFonts w:asciiTheme="minorHAnsi" w:hAnsiTheme="minorHAnsi" w:cstheme="minorHAnsi"/>
          <w:i w:val="0"/>
          <w:sz w:val="24"/>
          <w:szCs w:val="24"/>
        </w:rPr>
        <w:t>”</w:t>
      </w:r>
      <w:r w:rsidRPr="00F3065E">
        <w:rPr>
          <w:rFonts w:asciiTheme="minorHAnsi" w:hAnsiTheme="minorHAnsi" w:cstheme="minorHAnsi"/>
          <w:i w:val="0"/>
          <w:sz w:val="24"/>
          <w:szCs w:val="24"/>
        </w:rPr>
        <w:t xml:space="preserve"> E ACESSÍVEIS EM ESTABELECIMENTOS PÚBLICOS E PRIVADOS NO MUNICÍPIO DE NITERÓI, COMO ALTERNATIVA COMPLEMENTAR ÀS INSTALAÇÕES SANITÁRIAS CONVENCIONAIS, E DÁ OUTRAS PROVIDÊNCIAS.</w:t>
      </w:r>
    </w:p>
    <w:p w14:paraId="6310A7CD" w14:textId="77777777" w:rsidR="00F3065E" w:rsidRPr="001854BD" w:rsidRDefault="00F3065E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4399B1B3" w14:textId="77777777" w:rsidR="00C247BE" w:rsidRPr="001854BD" w:rsidRDefault="00C247BE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  <w:bookmarkStart w:id="0" w:name="_GoBack"/>
      <w:bookmarkEnd w:id="0"/>
    </w:p>
    <w:p w14:paraId="7D3C7CB7" w14:textId="7C84524B" w:rsid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  <w:r w:rsidRPr="00F3065E">
        <w:rPr>
          <w:rFonts w:asciiTheme="minorHAnsi" w:hAnsiTheme="minorHAnsi" w:cstheme="minorHAnsi"/>
          <w:sz w:val="24"/>
        </w:rPr>
        <w:t>Art. 1º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Fica autorizada, no âmbito do Município de Niterói, a disponibilização facultativa de banheiros sem gênero, de uso individual ou universal, em estabelecimentos públicos e privados, como alternativa complementar às instalações sanitárias convencionais previstas na legislação vigente.</w:t>
      </w:r>
    </w:p>
    <w:p w14:paraId="7666A015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</w:p>
    <w:p w14:paraId="5AA34BC9" w14:textId="40912E17" w:rsid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F3065E">
        <w:rPr>
          <w:rFonts w:asciiTheme="minorHAnsi" w:hAnsiTheme="minorHAnsi" w:cstheme="minorHAnsi"/>
          <w:sz w:val="24"/>
        </w:rPr>
        <w:t>Art. 2º</w:t>
      </w:r>
      <w:r w:rsidRPr="00F3065E">
        <w:rPr>
          <w:rFonts w:asciiTheme="minorHAnsi" w:hAnsiTheme="minorHAnsi" w:cstheme="minorHAnsi"/>
          <w:b w:val="0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Para os fins desta Lei, considera-se banheiro sem gênero de uso individual a unidade sanitária destinada à utilização por uma única pessoa ou núcleo familiar por vez, acessível a qualquer pessoa, independentemente de sexo ou identidade de gênero, observados os critérios de privacidade, acessibilidade e segurança.</w:t>
      </w:r>
    </w:p>
    <w:p w14:paraId="08AD3EE8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</w:p>
    <w:p w14:paraId="084DC375" w14:textId="33EF718B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F3065E">
        <w:rPr>
          <w:rFonts w:asciiTheme="minorHAnsi" w:hAnsiTheme="minorHAnsi" w:cstheme="minorHAnsi"/>
          <w:sz w:val="24"/>
        </w:rPr>
        <w:t>Art. 3º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Os banheiros sem gênero deverão atender, no mínimo, aos seguintes requisitos:</w:t>
      </w:r>
    </w:p>
    <w:p w14:paraId="2A50183A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 – </w:t>
      </w:r>
      <w:proofErr w:type="gramStart"/>
      <w:r w:rsidRPr="00F3065E">
        <w:rPr>
          <w:rFonts w:asciiTheme="minorHAnsi" w:hAnsiTheme="minorHAnsi" w:cstheme="minorHAnsi"/>
        </w:rPr>
        <w:t>utilização</w:t>
      </w:r>
      <w:proofErr w:type="gramEnd"/>
      <w:r w:rsidRPr="00F3065E">
        <w:rPr>
          <w:rFonts w:asciiTheme="minorHAnsi" w:hAnsiTheme="minorHAnsi" w:cstheme="minorHAnsi"/>
        </w:rPr>
        <w:t xml:space="preserve"> por uma pessoa ou núcleo familiar por vez;</w:t>
      </w:r>
    </w:p>
    <w:p w14:paraId="5DBE2FCD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II – </w:t>
      </w:r>
      <w:proofErr w:type="gramStart"/>
      <w:r w:rsidRPr="00F3065E">
        <w:rPr>
          <w:rFonts w:asciiTheme="minorHAnsi" w:hAnsiTheme="minorHAnsi" w:cstheme="minorHAnsi"/>
        </w:rPr>
        <w:t>fechamento</w:t>
      </w:r>
      <w:proofErr w:type="gramEnd"/>
      <w:r w:rsidRPr="00F3065E">
        <w:rPr>
          <w:rFonts w:asciiTheme="minorHAnsi" w:hAnsiTheme="minorHAnsi" w:cstheme="minorHAnsi"/>
        </w:rPr>
        <w:t xml:space="preserve"> interno que assegure privacidade integral;</w:t>
      </w:r>
    </w:p>
    <w:p w14:paraId="643CB74B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III – presença de vaso sanitário e lavatório;</w:t>
      </w:r>
    </w:p>
    <w:p w14:paraId="0850A0B3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IV – </w:t>
      </w:r>
      <w:proofErr w:type="gramStart"/>
      <w:r w:rsidRPr="00F3065E">
        <w:rPr>
          <w:rFonts w:asciiTheme="minorHAnsi" w:hAnsiTheme="minorHAnsi" w:cstheme="minorHAnsi"/>
        </w:rPr>
        <w:t>acessibilidade</w:t>
      </w:r>
      <w:proofErr w:type="gramEnd"/>
      <w:r w:rsidRPr="00F3065E">
        <w:rPr>
          <w:rFonts w:asciiTheme="minorHAnsi" w:hAnsiTheme="minorHAnsi" w:cstheme="minorHAnsi"/>
        </w:rPr>
        <w:t xml:space="preserve"> plena às pessoas com deficiência ou mobilidade reduzida, nos termos da legislação federal aplicável;</w:t>
      </w:r>
    </w:p>
    <w:p w14:paraId="1831AE73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V – </w:t>
      </w:r>
      <w:proofErr w:type="gramStart"/>
      <w:r w:rsidRPr="00F3065E">
        <w:rPr>
          <w:rFonts w:asciiTheme="minorHAnsi" w:hAnsiTheme="minorHAnsi" w:cstheme="minorHAnsi"/>
        </w:rPr>
        <w:t>instalação</w:t>
      </w:r>
      <w:proofErr w:type="gramEnd"/>
      <w:r w:rsidRPr="00F3065E">
        <w:rPr>
          <w:rFonts w:asciiTheme="minorHAnsi" w:hAnsiTheme="minorHAnsi" w:cstheme="minorHAnsi"/>
        </w:rPr>
        <w:t xml:space="preserve"> de barras de apoio e áreas de transferência para cadeiras de rodas;</w:t>
      </w:r>
    </w:p>
    <w:p w14:paraId="44FE26D4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VI – </w:t>
      </w:r>
      <w:proofErr w:type="gramStart"/>
      <w:r w:rsidRPr="00F3065E">
        <w:rPr>
          <w:rFonts w:asciiTheme="minorHAnsi" w:hAnsiTheme="minorHAnsi" w:cstheme="minorHAnsi"/>
        </w:rPr>
        <w:t>previsão</w:t>
      </w:r>
      <w:proofErr w:type="gramEnd"/>
      <w:r w:rsidRPr="00F3065E">
        <w:rPr>
          <w:rFonts w:asciiTheme="minorHAnsi" w:hAnsiTheme="minorHAnsi" w:cstheme="minorHAnsi"/>
        </w:rPr>
        <w:t xml:space="preserve"> de assento sanitário adaptado para pessoas idosas ou com dificuldade de locomoção;</w:t>
      </w:r>
    </w:p>
    <w:p w14:paraId="65245D91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VII – disponibilização, quando tecnicamente viável, de pia ou estrutura adequada para higienização e troca de bolsas de colostomia e ileostomia;</w:t>
      </w:r>
    </w:p>
    <w:p w14:paraId="3F26799D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lastRenderedPageBreak/>
        <w:t>VIII – sinalização clara, objetiva e ostensiva quanto à forma de utilização do espaço.</w:t>
      </w:r>
    </w:p>
    <w:p w14:paraId="209F8A84" w14:textId="5071BD38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  <w:r w:rsidRPr="00F3065E">
        <w:rPr>
          <w:rFonts w:asciiTheme="minorHAnsi" w:hAnsiTheme="minorHAnsi" w:cstheme="minorHAnsi"/>
          <w:sz w:val="24"/>
        </w:rPr>
        <w:t>Art. 4º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A disponibilização de banheiros sem gênero:</w:t>
      </w:r>
    </w:p>
    <w:p w14:paraId="2391AB38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 – </w:t>
      </w:r>
      <w:proofErr w:type="gramStart"/>
      <w:r w:rsidRPr="00F3065E">
        <w:rPr>
          <w:rFonts w:asciiTheme="minorHAnsi" w:hAnsiTheme="minorHAnsi" w:cstheme="minorHAnsi"/>
        </w:rPr>
        <w:t>não</w:t>
      </w:r>
      <w:proofErr w:type="gramEnd"/>
      <w:r w:rsidRPr="00F3065E">
        <w:rPr>
          <w:rFonts w:asciiTheme="minorHAnsi" w:hAnsiTheme="minorHAnsi" w:cstheme="minorHAnsi"/>
        </w:rPr>
        <w:t xml:space="preserve"> substitui a obrigatoriedade de manutenção de sanitários convencionais exigidos pela legislação vigente;</w:t>
      </w:r>
    </w:p>
    <w:p w14:paraId="26623ED7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II – </w:t>
      </w:r>
      <w:proofErr w:type="gramStart"/>
      <w:r w:rsidRPr="00F3065E">
        <w:rPr>
          <w:rFonts w:asciiTheme="minorHAnsi" w:hAnsiTheme="minorHAnsi" w:cstheme="minorHAnsi"/>
        </w:rPr>
        <w:t>possui</w:t>
      </w:r>
      <w:proofErr w:type="gramEnd"/>
      <w:r w:rsidRPr="00F3065E">
        <w:rPr>
          <w:rFonts w:asciiTheme="minorHAnsi" w:hAnsiTheme="minorHAnsi" w:cstheme="minorHAnsi"/>
        </w:rPr>
        <w:t xml:space="preserve"> caráter facultativo, a critério do responsável pelo estabelecimento;</w:t>
      </w:r>
    </w:p>
    <w:p w14:paraId="22117A20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III – poderá ser adotada como medida de inclusão, acessibilidade, acolhimento, organização e melhor aproveitamento dos espaços;</w:t>
      </w:r>
    </w:p>
    <w:p w14:paraId="1386E410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IV – </w:t>
      </w:r>
      <w:proofErr w:type="gramStart"/>
      <w:r w:rsidRPr="00F3065E">
        <w:rPr>
          <w:rFonts w:asciiTheme="minorHAnsi" w:hAnsiTheme="minorHAnsi" w:cstheme="minorHAnsi"/>
        </w:rPr>
        <w:t>não</w:t>
      </w:r>
      <w:proofErr w:type="gramEnd"/>
      <w:r w:rsidRPr="00F3065E">
        <w:rPr>
          <w:rFonts w:asciiTheme="minorHAnsi" w:hAnsiTheme="minorHAnsi" w:cstheme="minorHAnsi"/>
        </w:rPr>
        <w:t xml:space="preserve"> gera obrigação de adaptação estrutural imediata para estabelecimentos já existentes, salvo por iniciativa voluntária do responsável.</w:t>
      </w:r>
    </w:p>
    <w:p w14:paraId="330B92A0" w14:textId="15CCA8F6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  <w:r w:rsidRPr="00F3065E">
        <w:rPr>
          <w:rFonts w:asciiTheme="minorHAnsi" w:hAnsiTheme="minorHAnsi" w:cstheme="minorHAnsi"/>
          <w:sz w:val="24"/>
        </w:rPr>
        <w:t>Art. 5º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O Poder Executivo poderá promover, de forma gradual, observada a conveniência administrativa e a disponibilidade orçamentária, a instalação de banheiros sem gênero e acessíveis em áreas públicas municipais de grande circulação e convivência social, especialmente:</w:t>
      </w:r>
    </w:p>
    <w:p w14:paraId="5E04E468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 – </w:t>
      </w:r>
      <w:proofErr w:type="gramStart"/>
      <w:r w:rsidRPr="00F3065E">
        <w:rPr>
          <w:rFonts w:asciiTheme="minorHAnsi" w:hAnsiTheme="minorHAnsi" w:cstheme="minorHAnsi"/>
        </w:rPr>
        <w:t>praias</w:t>
      </w:r>
      <w:proofErr w:type="gramEnd"/>
      <w:r w:rsidRPr="00F3065E">
        <w:rPr>
          <w:rFonts w:asciiTheme="minorHAnsi" w:hAnsiTheme="minorHAnsi" w:cstheme="minorHAnsi"/>
        </w:rPr>
        <w:t>;</w:t>
      </w:r>
    </w:p>
    <w:p w14:paraId="7CBB5347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II – </w:t>
      </w:r>
      <w:proofErr w:type="gramStart"/>
      <w:r w:rsidRPr="00F3065E">
        <w:rPr>
          <w:rFonts w:asciiTheme="minorHAnsi" w:hAnsiTheme="minorHAnsi" w:cstheme="minorHAnsi"/>
        </w:rPr>
        <w:t>praças</w:t>
      </w:r>
      <w:proofErr w:type="gramEnd"/>
      <w:r w:rsidRPr="00F3065E">
        <w:rPr>
          <w:rFonts w:asciiTheme="minorHAnsi" w:hAnsiTheme="minorHAnsi" w:cstheme="minorHAnsi"/>
        </w:rPr>
        <w:t xml:space="preserve"> públicas;</w:t>
      </w:r>
    </w:p>
    <w:p w14:paraId="3976C168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III – parques municipais;</w:t>
      </w:r>
    </w:p>
    <w:p w14:paraId="1BE67AF1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IV – </w:t>
      </w:r>
      <w:proofErr w:type="gramStart"/>
      <w:r w:rsidRPr="00F3065E">
        <w:rPr>
          <w:rFonts w:asciiTheme="minorHAnsi" w:hAnsiTheme="minorHAnsi" w:cstheme="minorHAnsi"/>
        </w:rPr>
        <w:t>equipamentos</w:t>
      </w:r>
      <w:proofErr w:type="gramEnd"/>
      <w:r w:rsidRPr="00F3065E">
        <w:rPr>
          <w:rFonts w:asciiTheme="minorHAnsi" w:hAnsiTheme="minorHAnsi" w:cstheme="minorHAnsi"/>
        </w:rPr>
        <w:t xml:space="preserve"> públicos de esporte, lazer e turismo.</w:t>
      </w:r>
    </w:p>
    <w:p w14:paraId="5061BA84" w14:textId="64FBD347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  <w:r w:rsidRPr="00F3065E">
        <w:rPr>
          <w:rFonts w:asciiTheme="minorHAnsi" w:hAnsiTheme="minorHAnsi" w:cstheme="minorHAnsi"/>
          <w:sz w:val="24"/>
        </w:rPr>
        <w:t>§1º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Sempre que tecnicamente viável, os equipamentos previstos neste artigo deverão observar critérios de acessibilidade universal, contemplando:</w:t>
      </w:r>
    </w:p>
    <w:p w14:paraId="503D42ED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 – </w:t>
      </w:r>
      <w:proofErr w:type="gramStart"/>
      <w:r w:rsidRPr="00F3065E">
        <w:rPr>
          <w:rFonts w:asciiTheme="minorHAnsi" w:hAnsiTheme="minorHAnsi" w:cstheme="minorHAnsi"/>
        </w:rPr>
        <w:t>barras</w:t>
      </w:r>
      <w:proofErr w:type="gramEnd"/>
      <w:r w:rsidRPr="00F3065E">
        <w:rPr>
          <w:rFonts w:asciiTheme="minorHAnsi" w:hAnsiTheme="minorHAnsi" w:cstheme="minorHAnsi"/>
        </w:rPr>
        <w:t xml:space="preserve"> de apoio e áreas de transferência para cadeiras de rodas;</w:t>
      </w:r>
    </w:p>
    <w:p w14:paraId="593D6A4B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II – </w:t>
      </w:r>
      <w:proofErr w:type="gramStart"/>
      <w:r w:rsidRPr="00F3065E">
        <w:rPr>
          <w:rFonts w:asciiTheme="minorHAnsi" w:hAnsiTheme="minorHAnsi" w:cstheme="minorHAnsi"/>
        </w:rPr>
        <w:t>sanitários</w:t>
      </w:r>
      <w:proofErr w:type="gramEnd"/>
      <w:r w:rsidRPr="00F3065E">
        <w:rPr>
          <w:rFonts w:asciiTheme="minorHAnsi" w:hAnsiTheme="minorHAnsi" w:cstheme="minorHAnsi"/>
        </w:rPr>
        <w:t xml:space="preserve"> adaptados para pessoas com mobilidade reduzida;</w:t>
      </w:r>
    </w:p>
    <w:p w14:paraId="2423A42D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III – assentos com altura adequada para idosos e pessoas com dificuldade de locomoção;</w:t>
      </w:r>
    </w:p>
    <w:p w14:paraId="065E1F87" w14:textId="06B253C1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IV – </w:t>
      </w:r>
      <w:proofErr w:type="gramStart"/>
      <w:r w:rsidRPr="00F3065E">
        <w:rPr>
          <w:rFonts w:asciiTheme="minorHAnsi" w:hAnsiTheme="minorHAnsi" w:cstheme="minorHAnsi"/>
        </w:rPr>
        <w:t>estrutura</w:t>
      </w:r>
      <w:proofErr w:type="gramEnd"/>
      <w:r w:rsidRPr="00F3065E">
        <w:rPr>
          <w:rFonts w:asciiTheme="minorHAnsi" w:hAnsiTheme="minorHAnsi" w:cstheme="minorHAnsi"/>
        </w:rPr>
        <w:t xml:space="preserve"> adequada para atendimento às necessidades de pessoas ostomizadas;</w:t>
      </w:r>
    </w:p>
    <w:p w14:paraId="63EC34F7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V – </w:t>
      </w:r>
      <w:proofErr w:type="gramStart"/>
      <w:r w:rsidRPr="00F3065E">
        <w:rPr>
          <w:rFonts w:asciiTheme="minorHAnsi" w:hAnsiTheme="minorHAnsi" w:cstheme="minorHAnsi"/>
        </w:rPr>
        <w:t>espaço</w:t>
      </w:r>
      <w:proofErr w:type="gramEnd"/>
      <w:r w:rsidRPr="00F3065E">
        <w:rPr>
          <w:rFonts w:asciiTheme="minorHAnsi" w:hAnsiTheme="minorHAnsi" w:cstheme="minorHAnsi"/>
        </w:rPr>
        <w:t xml:space="preserve"> adequado para utilização familiar e acompanhamento de crianças, idosos ou pessoas com deficiência.</w:t>
      </w:r>
    </w:p>
    <w:p w14:paraId="0F827B1F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F3065E">
        <w:rPr>
          <w:rFonts w:asciiTheme="minorHAnsi" w:hAnsiTheme="minorHAnsi" w:cstheme="minorHAnsi"/>
          <w:sz w:val="24"/>
        </w:rPr>
        <w:lastRenderedPageBreak/>
        <w:t>§2º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A implementação das medidas previstas neste artigo poderá ocorrer diretamente pelo Poder Público ou mediante concessão, parceria, adoção de espaços públicos, permissão de uso ou instrumentos congêneres.</w:t>
      </w:r>
    </w:p>
    <w:p w14:paraId="4AB94FFA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</w:p>
    <w:p w14:paraId="581ED220" w14:textId="094D7628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F3065E">
        <w:rPr>
          <w:rFonts w:asciiTheme="minorHAnsi" w:hAnsiTheme="minorHAnsi" w:cstheme="minorHAnsi"/>
          <w:sz w:val="24"/>
        </w:rPr>
        <w:t>Art. 6º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A adequação às disposições desta Lei observará:</w:t>
      </w:r>
    </w:p>
    <w:p w14:paraId="316FE8DF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 – </w:t>
      </w:r>
      <w:proofErr w:type="gramStart"/>
      <w:r w:rsidRPr="00F3065E">
        <w:rPr>
          <w:rFonts w:asciiTheme="minorHAnsi" w:hAnsiTheme="minorHAnsi" w:cstheme="minorHAnsi"/>
        </w:rPr>
        <w:t>as</w:t>
      </w:r>
      <w:proofErr w:type="gramEnd"/>
      <w:r w:rsidRPr="00F3065E">
        <w:rPr>
          <w:rFonts w:asciiTheme="minorHAnsi" w:hAnsiTheme="minorHAnsi" w:cstheme="minorHAnsi"/>
        </w:rPr>
        <w:t xml:space="preserve"> normas sanitárias vigentes;</w:t>
      </w:r>
    </w:p>
    <w:p w14:paraId="2D458549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II – </w:t>
      </w:r>
      <w:proofErr w:type="gramStart"/>
      <w:r w:rsidRPr="00F3065E">
        <w:rPr>
          <w:rFonts w:asciiTheme="minorHAnsi" w:hAnsiTheme="minorHAnsi" w:cstheme="minorHAnsi"/>
        </w:rPr>
        <w:t>a</w:t>
      </w:r>
      <w:proofErr w:type="gramEnd"/>
      <w:r w:rsidRPr="00F3065E">
        <w:rPr>
          <w:rFonts w:asciiTheme="minorHAnsi" w:hAnsiTheme="minorHAnsi" w:cstheme="minorHAnsi"/>
        </w:rPr>
        <w:t xml:space="preserve"> Lei Federal nº 13.146/2015 (Estatuto da Pessoa com Deficiência);</w:t>
      </w:r>
    </w:p>
    <w:p w14:paraId="5F1705ED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>III – as normas técnicas de acessibilidade da ABNT;</w:t>
      </w:r>
    </w:p>
    <w:p w14:paraId="114B4F16" w14:textId="77777777" w:rsidR="00F3065E" w:rsidRPr="00F3065E" w:rsidRDefault="00F3065E" w:rsidP="00F3065E">
      <w:pPr>
        <w:pStyle w:val="NormalWeb"/>
        <w:jc w:val="both"/>
        <w:rPr>
          <w:rFonts w:asciiTheme="minorHAnsi" w:hAnsiTheme="minorHAnsi" w:cstheme="minorHAnsi"/>
        </w:rPr>
      </w:pPr>
      <w:r w:rsidRPr="00F3065E">
        <w:rPr>
          <w:rFonts w:asciiTheme="minorHAnsi" w:hAnsiTheme="minorHAnsi" w:cstheme="minorHAnsi"/>
        </w:rPr>
        <w:t xml:space="preserve">IV – </w:t>
      </w:r>
      <w:proofErr w:type="gramStart"/>
      <w:r w:rsidRPr="00F3065E">
        <w:rPr>
          <w:rFonts w:asciiTheme="minorHAnsi" w:hAnsiTheme="minorHAnsi" w:cstheme="minorHAnsi"/>
        </w:rPr>
        <w:t>os</w:t>
      </w:r>
      <w:proofErr w:type="gramEnd"/>
      <w:r w:rsidRPr="00F3065E">
        <w:rPr>
          <w:rFonts w:asciiTheme="minorHAnsi" w:hAnsiTheme="minorHAnsi" w:cstheme="minorHAnsi"/>
        </w:rPr>
        <w:t xml:space="preserve"> regulamentos municipais aplicáveis às edificações e ao funcionamento de atividades econômicas.</w:t>
      </w:r>
    </w:p>
    <w:p w14:paraId="0E8E31F4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  <w:r w:rsidRPr="00F3065E">
        <w:rPr>
          <w:rFonts w:asciiTheme="minorHAnsi" w:hAnsiTheme="minorHAnsi" w:cstheme="minorHAnsi"/>
          <w:sz w:val="24"/>
        </w:rPr>
        <w:t>Art. 7º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O Poder Executivo poderá regulamentar esta Lei, especialmente quanto aos critérios técnicos de acessibilidade, higiene, sinalização e segurança sanitária.</w:t>
      </w:r>
    </w:p>
    <w:p w14:paraId="461C5853" w14:textId="77777777" w:rsidR="00F3065E" w:rsidRDefault="00F3065E" w:rsidP="00F3065E">
      <w:pPr>
        <w:pStyle w:val="Ttulo3"/>
        <w:jc w:val="both"/>
        <w:rPr>
          <w:rFonts w:asciiTheme="minorHAnsi" w:hAnsiTheme="minorHAnsi" w:cstheme="minorHAnsi"/>
          <w:sz w:val="24"/>
        </w:rPr>
      </w:pPr>
    </w:p>
    <w:p w14:paraId="70211A02" w14:textId="336E8BA2" w:rsidR="00F3065E" w:rsidRPr="00F3065E" w:rsidRDefault="00F3065E" w:rsidP="00F3065E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F3065E">
        <w:rPr>
          <w:rFonts w:asciiTheme="minorHAnsi" w:hAnsiTheme="minorHAnsi" w:cstheme="minorHAnsi"/>
          <w:sz w:val="24"/>
        </w:rPr>
        <w:t>Art. 8º</w:t>
      </w:r>
      <w:r>
        <w:rPr>
          <w:rFonts w:asciiTheme="minorHAnsi" w:hAnsiTheme="minorHAnsi" w:cstheme="minorHAnsi"/>
          <w:sz w:val="24"/>
        </w:rPr>
        <w:t xml:space="preserve"> </w:t>
      </w:r>
      <w:r w:rsidRPr="00F3065E">
        <w:rPr>
          <w:rFonts w:asciiTheme="minorHAnsi" w:hAnsiTheme="minorHAnsi" w:cstheme="minorHAnsi"/>
          <w:b w:val="0"/>
          <w:sz w:val="24"/>
        </w:rPr>
        <w:t>Esta Lei entra em vigor na data de sua publicação.</w:t>
      </w:r>
    </w:p>
    <w:p w14:paraId="6A1A229D" w14:textId="094BE88C" w:rsidR="00C247BE" w:rsidRPr="001854BD" w:rsidRDefault="00C247BE" w:rsidP="001854BD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F92B18A" w14:textId="77777777" w:rsidR="00D14C42" w:rsidRPr="001854BD" w:rsidRDefault="00D14C4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5AB672EA" w14:textId="77777777" w:rsidR="00D14C42" w:rsidRPr="001854BD" w:rsidRDefault="00D14C4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709F334" w14:textId="77777777" w:rsidR="00F90FB2" w:rsidRPr="001854BD" w:rsidRDefault="00F90FB2" w:rsidP="001854BD">
      <w:pPr>
        <w:jc w:val="center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FABIANO GONÇALVES</w:t>
      </w:r>
    </w:p>
    <w:p w14:paraId="19B1F951" w14:textId="77777777" w:rsidR="00F90FB2" w:rsidRPr="001854BD" w:rsidRDefault="00F90FB2" w:rsidP="001854BD">
      <w:pPr>
        <w:jc w:val="center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VEREADOR</w:t>
      </w:r>
    </w:p>
    <w:p w14:paraId="7E732D17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45A353A1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22558EA1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04ACA371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19BF6B9A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288265C8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41CF7C30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4BFF733D" w14:textId="77777777" w:rsidR="00F90FB2" w:rsidRPr="001854BD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1883A7DB" w14:textId="3533C717" w:rsidR="00F90FB2" w:rsidRDefault="00F90FB2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1E699E3D" w14:textId="54E85EAE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1850EDA" w14:textId="1897B2A4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0EACF15B" w14:textId="1BB3F73E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6220CE6D" w14:textId="1F9C21B0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43C51A9B" w14:textId="7B9A7297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6F2AF33A" w14:textId="5DC1F952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586A55D" w14:textId="4982D42D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3B1291B3" w14:textId="526C4137" w:rsidR="001854BD" w:rsidRDefault="001854BD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07AECCDC" w14:textId="02E2993F" w:rsidR="00C247BE" w:rsidRPr="001854BD" w:rsidRDefault="00C247BE" w:rsidP="001854BD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JUSTIFICATIVA</w:t>
      </w:r>
    </w:p>
    <w:p w14:paraId="142264A8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 presente proposição tem como objetivo oferecer ao Município de Niterói uma solução moderna, inclusiva, funcional e juridicamente adequada para ampliação da </w:t>
      </w: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acessibilidade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e da dignidade nos espaços sanitários públicos e privados.</w:t>
      </w:r>
    </w:p>
    <w:p w14:paraId="067C30C4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 proposta acompanha tendência já adotada por importantes instituições públicas brasileiras, como a Universidade do Estado do Rio de Janeiro – UERJ, que recentemente inaugurou espaço sanitário de uso universal voltado à promoção da inclusão, acessibilidade e acolhimento de todos os usuários.</w:t>
      </w:r>
    </w:p>
    <w:p w14:paraId="6567775D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O projeto possui caráter facultativo e complementar, não substituindo os modelos sanitários convencionais já previstos na legislação vigente, tampouco impondo adaptações compulsórias ao setor privado.</w:t>
      </w:r>
    </w:p>
    <w:p w14:paraId="4D5B1269" w14:textId="268DF8F4" w:rsidR="00EB19B3" w:rsidRPr="00EB19B3" w:rsidRDefault="00EB19B3" w:rsidP="00EB19B3">
      <w:pPr>
        <w:spacing w:before="100" w:beforeAutospacing="1" w:after="100" w:afterAutospacing="1"/>
        <w:ind w:firstLine="360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     </w:t>
      </w: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 iniciativa busca incentivar ambientes mais acessíveis e humanizados, especialmente para:</w:t>
      </w:r>
    </w:p>
    <w:p w14:paraId="39DE2800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pessoas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com deficiência; </w:t>
      </w:r>
    </w:p>
    <w:p w14:paraId="1AB16A62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pessoas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com mobilidade reduzida; </w:t>
      </w:r>
    </w:p>
    <w:p w14:paraId="234AF809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idosos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; </w:t>
      </w:r>
    </w:p>
    <w:p w14:paraId="0E1A4139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pessoas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ostomizadas; </w:t>
      </w:r>
    </w:p>
    <w:p w14:paraId="2044D3EB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famílias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com crianças pequenas; </w:t>
      </w:r>
    </w:p>
    <w:p w14:paraId="0B82984B" w14:textId="77777777" w:rsidR="00EB19B3" w:rsidRPr="00EB19B3" w:rsidRDefault="00EB19B3" w:rsidP="00EB19B3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acompanhantes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pessoas com necessidades especiais. </w:t>
      </w:r>
    </w:p>
    <w:p w14:paraId="2C193862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 previsão de estruturas como barras de apoio, áreas de transferência para cadeirantes, sanitários adaptados e espaços destinados à higienização de bolsas de colostomia </w:t>
      </w: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e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ileostomia atende demandas historicamente negligenciadas na infraestrutura urbana brasileira.</w:t>
      </w:r>
    </w:p>
    <w:p w14:paraId="5E94D7D9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O projeto também autoriza o Poder Público a avaliar, de forma gradual e conforme disponibilidade administrativa e orçamentária, a implementação desses equipamentos em praias, praças, parques e áreas públicas de convivência, contribuindo para:</w:t>
      </w:r>
    </w:p>
    <w:p w14:paraId="0F298E48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fortalecimento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da acessibilidade urbana; </w:t>
      </w:r>
    </w:p>
    <w:p w14:paraId="48440997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inclusão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social; </w:t>
      </w:r>
    </w:p>
    <w:p w14:paraId="7530D0DA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promoção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do turismo acessível; </w:t>
      </w:r>
    </w:p>
    <w:p w14:paraId="6CC923B8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valorização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dos espaços públicos; </w:t>
      </w:r>
    </w:p>
    <w:p w14:paraId="7B6C32AA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apoio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às famílias e pessoas com necessidades específicas; </w:t>
      </w:r>
    </w:p>
    <w:p w14:paraId="00E0A876" w14:textId="77777777" w:rsidR="00EB19B3" w:rsidRPr="00EB19B3" w:rsidRDefault="00EB19B3" w:rsidP="00EB19B3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proofErr w:type="gramStart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lastRenderedPageBreak/>
        <w:t>modernização</w:t>
      </w:r>
      <w:proofErr w:type="gramEnd"/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da infraestrutura urbana municipal. </w:t>
      </w:r>
    </w:p>
    <w:p w14:paraId="45AB5E5B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Niterói possui vocação turística, intensa utilização de espaços públicos ao ar livre e reconhecida tradição de políticas urbanas inovadoras, razão pela qual a ampliação de equipamentos sanitários acessíveis representa medida compatível com o interesse público local e com os princípios constitucionais da dignidade da pessoa humana, inclusão e acessibilidade.</w:t>
      </w:r>
    </w:p>
    <w:p w14:paraId="5A4F9855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A proposta respeita integralmente a livre iniciativa, não cria obrigações desproporcionais ao setor privado e preserva a autonomia administrativa do Poder Executivo, limitando-se a estabelecer diretrizes autorizativas voltadas à promoção da acessibilidade e do acolhimento social.</w:t>
      </w:r>
    </w:p>
    <w:p w14:paraId="3A93E0ED" w14:textId="77777777" w:rsidR="00EB19B3" w:rsidRPr="00EB19B3" w:rsidRDefault="00EB19B3" w:rsidP="00EB19B3">
      <w:pPr>
        <w:spacing w:before="100" w:beforeAutospacing="1" w:after="100" w:afterAutospacing="1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B19B3">
        <w:rPr>
          <w:rFonts w:asciiTheme="minorHAnsi" w:hAnsiTheme="minorHAnsi" w:cstheme="minorHAnsi"/>
          <w:b w:val="0"/>
          <w:i w:val="0"/>
          <w:sz w:val="24"/>
          <w:szCs w:val="24"/>
        </w:rPr>
        <w:t>Diante do exposto, conto com o apoio dos nobres pares para aprovação da presente proposição.</w:t>
      </w:r>
    </w:p>
    <w:p w14:paraId="7D263A17" w14:textId="77777777" w:rsidR="00EB19B3" w:rsidRDefault="00EB19B3" w:rsidP="001854BD">
      <w:pPr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19B422F" w14:textId="77777777" w:rsidR="00EB19B3" w:rsidRDefault="00EB19B3" w:rsidP="001854BD">
      <w:pPr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0185BE4F" w14:textId="77777777" w:rsidR="0057767F" w:rsidRDefault="0057767F" w:rsidP="001854BD">
      <w:pPr>
        <w:rPr>
          <w:rFonts w:asciiTheme="minorHAnsi" w:hAnsiTheme="minorHAnsi" w:cstheme="minorHAnsi"/>
          <w:sz w:val="24"/>
          <w:szCs w:val="24"/>
        </w:rPr>
      </w:pPr>
    </w:p>
    <w:p w14:paraId="28B8BA9D" w14:textId="7C6BFF47" w:rsidR="001854BD" w:rsidRPr="001854BD" w:rsidRDefault="001854BD" w:rsidP="001854BD">
      <w:pPr>
        <w:jc w:val="center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FABIANO GONÇALVES</w:t>
      </w:r>
    </w:p>
    <w:p w14:paraId="6DA796CB" w14:textId="671F4232" w:rsidR="00D14C42" w:rsidRPr="0057767F" w:rsidRDefault="001854BD" w:rsidP="0057767F">
      <w:pPr>
        <w:jc w:val="center"/>
        <w:rPr>
          <w:rFonts w:asciiTheme="minorHAnsi" w:hAnsiTheme="minorHAnsi" w:cstheme="minorHAnsi"/>
          <w:i w:val="0"/>
          <w:sz w:val="24"/>
          <w:szCs w:val="24"/>
        </w:rPr>
      </w:pPr>
      <w:r w:rsidRPr="001854BD">
        <w:rPr>
          <w:rFonts w:asciiTheme="minorHAnsi" w:hAnsiTheme="minorHAnsi" w:cstheme="minorHAnsi"/>
          <w:i w:val="0"/>
          <w:sz w:val="24"/>
          <w:szCs w:val="24"/>
        </w:rPr>
        <w:t>VEREADOR</w:t>
      </w:r>
    </w:p>
    <w:sectPr w:rsidR="00D14C42" w:rsidRPr="0057767F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A349C" w14:textId="77777777" w:rsidR="00164091" w:rsidRDefault="00164091">
      <w:r>
        <w:separator/>
      </w:r>
    </w:p>
  </w:endnote>
  <w:endnote w:type="continuationSeparator" w:id="0">
    <w:p w14:paraId="36F2CB5F" w14:textId="77777777" w:rsidR="00164091" w:rsidRDefault="00164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A8FC8" w14:textId="77777777" w:rsidR="00164091" w:rsidRDefault="00164091">
      <w:r>
        <w:separator/>
      </w:r>
    </w:p>
  </w:footnote>
  <w:footnote w:type="continuationSeparator" w:id="0">
    <w:p w14:paraId="2B04D168" w14:textId="77777777" w:rsidR="00164091" w:rsidRDefault="00164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B467" w14:textId="3517AB8B" w:rsidR="007878B7" w:rsidRDefault="007878B7" w:rsidP="007878B7">
    <w:pPr>
      <w:pStyle w:val="Cabealho"/>
    </w:pPr>
    <w:r>
      <w:t xml:space="preserve">                                            </w:t>
    </w:r>
    <w:r>
      <w:rPr>
        <w:noProof/>
      </w:rPr>
      <w:drawing>
        <wp:inline distT="0" distB="0" distL="0" distR="0" wp14:anchorId="43BE3110" wp14:editId="726D12CB">
          <wp:extent cx="946298" cy="1261731"/>
          <wp:effectExtent l="0" t="0" r="635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096" cy="1269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4D125" w14:textId="77777777" w:rsidR="007878B7" w:rsidRPr="00B12C42" w:rsidRDefault="007878B7" w:rsidP="007878B7">
    <w:pPr>
      <w:pStyle w:val="Cabealho"/>
      <w:rPr>
        <w:sz w:val="24"/>
        <w:szCs w:val="24"/>
      </w:rPr>
    </w:pPr>
  </w:p>
  <w:p w14:paraId="5F6E79AB" w14:textId="668EE792" w:rsidR="001267A8" w:rsidRPr="00F115B8" w:rsidRDefault="00F115B8">
    <w:pPr>
      <w:jc w:val="center"/>
      <w:rPr>
        <w:rFonts w:asciiTheme="minorHAnsi" w:hAnsiTheme="minorHAnsi" w:cstheme="minorHAnsi"/>
        <w:bCs/>
        <w:szCs w:val="22"/>
      </w:rPr>
    </w:pPr>
    <w:r w:rsidRPr="00F115B8">
      <w:rPr>
        <w:rFonts w:asciiTheme="minorHAnsi" w:hAnsiTheme="minorHAnsi" w:cstheme="minorHAnsi"/>
        <w:bCs/>
        <w:i w:val="0"/>
        <w:iCs/>
        <w:sz w:val="28"/>
        <w:szCs w:val="28"/>
      </w:rPr>
      <w:t>GABINETE VEREADOR FABIANO GONÇALVES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6589"/>
    <w:multiLevelType w:val="hybridMultilevel"/>
    <w:tmpl w:val="040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96B6C"/>
    <w:multiLevelType w:val="hybridMultilevel"/>
    <w:tmpl w:val="9BE666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91830"/>
    <w:multiLevelType w:val="hybridMultilevel"/>
    <w:tmpl w:val="229ADF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E74CC"/>
    <w:multiLevelType w:val="hybridMultilevel"/>
    <w:tmpl w:val="EDB27C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E4FE8"/>
    <w:multiLevelType w:val="multilevel"/>
    <w:tmpl w:val="995E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9A01E9"/>
    <w:multiLevelType w:val="hybridMultilevel"/>
    <w:tmpl w:val="D6DEC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A09B7"/>
    <w:multiLevelType w:val="multilevel"/>
    <w:tmpl w:val="E63E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87811"/>
    <w:multiLevelType w:val="multilevel"/>
    <w:tmpl w:val="E202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47479"/>
    <w:multiLevelType w:val="multilevel"/>
    <w:tmpl w:val="114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CD2EE7"/>
    <w:multiLevelType w:val="hybridMultilevel"/>
    <w:tmpl w:val="3EA47E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85A3B"/>
    <w:multiLevelType w:val="hybridMultilevel"/>
    <w:tmpl w:val="95E872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87B97"/>
    <w:multiLevelType w:val="hybridMultilevel"/>
    <w:tmpl w:val="2DAEE4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D0913"/>
    <w:multiLevelType w:val="hybridMultilevel"/>
    <w:tmpl w:val="B128FB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870F8"/>
    <w:multiLevelType w:val="hybridMultilevel"/>
    <w:tmpl w:val="648489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673C0"/>
    <w:multiLevelType w:val="hybridMultilevel"/>
    <w:tmpl w:val="D64253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35664"/>
    <w:multiLevelType w:val="multilevel"/>
    <w:tmpl w:val="FCEA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B2554C"/>
    <w:multiLevelType w:val="hybridMultilevel"/>
    <w:tmpl w:val="0AEC77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657A1A"/>
    <w:multiLevelType w:val="hybridMultilevel"/>
    <w:tmpl w:val="25DA79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46A76"/>
    <w:multiLevelType w:val="hybridMultilevel"/>
    <w:tmpl w:val="EA6CBA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9710B4"/>
    <w:multiLevelType w:val="hybridMultilevel"/>
    <w:tmpl w:val="1696BA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30A9C"/>
    <w:multiLevelType w:val="hybridMultilevel"/>
    <w:tmpl w:val="593E12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9016A"/>
    <w:multiLevelType w:val="multilevel"/>
    <w:tmpl w:val="F28C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4B46B0"/>
    <w:multiLevelType w:val="hybridMultilevel"/>
    <w:tmpl w:val="FCF4C5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C6A7E"/>
    <w:multiLevelType w:val="hybridMultilevel"/>
    <w:tmpl w:val="5C2686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5A1CD6"/>
    <w:multiLevelType w:val="multilevel"/>
    <w:tmpl w:val="EA1C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F37850"/>
    <w:multiLevelType w:val="hybridMultilevel"/>
    <w:tmpl w:val="22CEC0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410AA2"/>
    <w:multiLevelType w:val="hybridMultilevel"/>
    <w:tmpl w:val="0F9426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06530"/>
    <w:multiLevelType w:val="hybridMultilevel"/>
    <w:tmpl w:val="84484A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30532"/>
    <w:multiLevelType w:val="multilevel"/>
    <w:tmpl w:val="F562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096097"/>
    <w:multiLevelType w:val="multilevel"/>
    <w:tmpl w:val="B940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B47B89"/>
    <w:multiLevelType w:val="hybridMultilevel"/>
    <w:tmpl w:val="1FEC169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56FF4"/>
    <w:multiLevelType w:val="hybridMultilevel"/>
    <w:tmpl w:val="4E8481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C16BBA"/>
    <w:multiLevelType w:val="multilevel"/>
    <w:tmpl w:val="1CA6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630A52"/>
    <w:multiLevelType w:val="hybridMultilevel"/>
    <w:tmpl w:val="5BB0D7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635DA"/>
    <w:multiLevelType w:val="hybridMultilevel"/>
    <w:tmpl w:val="34203F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D4A59"/>
    <w:multiLevelType w:val="hybridMultilevel"/>
    <w:tmpl w:val="F9ACCC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51157"/>
    <w:multiLevelType w:val="hybridMultilevel"/>
    <w:tmpl w:val="B184B2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11AEF"/>
    <w:multiLevelType w:val="multilevel"/>
    <w:tmpl w:val="CE52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AF1873"/>
    <w:multiLevelType w:val="multilevel"/>
    <w:tmpl w:val="588A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145623"/>
    <w:multiLevelType w:val="multilevel"/>
    <w:tmpl w:val="A6E4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E14A1A"/>
    <w:multiLevelType w:val="multilevel"/>
    <w:tmpl w:val="31BA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6"/>
  </w:num>
  <w:num w:numId="3">
    <w:abstractNumId w:val="0"/>
  </w:num>
  <w:num w:numId="4">
    <w:abstractNumId w:val="34"/>
  </w:num>
  <w:num w:numId="5">
    <w:abstractNumId w:val="17"/>
  </w:num>
  <w:num w:numId="6">
    <w:abstractNumId w:val="24"/>
  </w:num>
  <w:num w:numId="7">
    <w:abstractNumId w:val="13"/>
  </w:num>
  <w:num w:numId="8">
    <w:abstractNumId w:val="12"/>
  </w:num>
  <w:num w:numId="9">
    <w:abstractNumId w:val="11"/>
  </w:num>
  <w:num w:numId="10">
    <w:abstractNumId w:val="31"/>
  </w:num>
  <w:num w:numId="11">
    <w:abstractNumId w:val="9"/>
  </w:num>
  <w:num w:numId="12">
    <w:abstractNumId w:val="35"/>
  </w:num>
  <w:num w:numId="13">
    <w:abstractNumId w:val="21"/>
  </w:num>
  <w:num w:numId="14">
    <w:abstractNumId w:val="28"/>
  </w:num>
  <w:num w:numId="15">
    <w:abstractNumId w:val="10"/>
  </w:num>
  <w:num w:numId="16">
    <w:abstractNumId w:val="27"/>
  </w:num>
  <w:num w:numId="17">
    <w:abstractNumId w:val="37"/>
  </w:num>
  <w:num w:numId="18">
    <w:abstractNumId w:val="18"/>
  </w:num>
  <w:num w:numId="19">
    <w:abstractNumId w:val="23"/>
  </w:num>
  <w:num w:numId="20">
    <w:abstractNumId w:val="2"/>
  </w:num>
  <w:num w:numId="21">
    <w:abstractNumId w:val="19"/>
  </w:num>
  <w:num w:numId="22">
    <w:abstractNumId w:val="1"/>
  </w:num>
  <w:num w:numId="23">
    <w:abstractNumId w:val="3"/>
  </w:num>
  <w:num w:numId="24">
    <w:abstractNumId w:val="32"/>
  </w:num>
  <w:num w:numId="25">
    <w:abstractNumId w:val="14"/>
  </w:num>
  <w:num w:numId="26">
    <w:abstractNumId w:val="20"/>
  </w:num>
  <w:num w:numId="27">
    <w:abstractNumId w:val="36"/>
  </w:num>
  <w:num w:numId="28">
    <w:abstractNumId w:val="30"/>
  </w:num>
  <w:num w:numId="29">
    <w:abstractNumId w:val="29"/>
  </w:num>
  <w:num w:numId="30">
    <w:abstractNumId w:val="40"/>
  </w:num>
  <w:num w:numId="31">
    <w:abstractNumId w:val="38"/>
  </w:num>
  <w:num w:numId="32">
    <w:abstractNumId w:val="4"/>
  </w:num>
  <w:num w:numId="33">
    <w:abstractNumId w:val="25"/>
  </w:num>
  <w:num w:numId="34">
    <w:abstractNumId w:val="33"/>
  </w:num>
  <w:num w:numId="35">
    <w:abstractNumId w:val="22"/>
  </w:num>
  <w:num w:numId="36">
    <w:abstractNumId w:val="15"/>
  </w:num>
  <w:num w:numId="37">
    <w:abstractNumId w:val="8"/>
  </w:num>
  <w:num w:numId="38">
    <w:abstractNumId w:val="7"/>
  </w:num>
  <w:num w:numId="39">
    <w:abstractNumId w:val="6"/>
  </w:num>
  <w:num w:numId="40">
    <w:abstractNumId w:val="5"/>
  </w:num>
  <w:num w:numId="41">
    <w:abstractNumId w:val="39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04C0"/>
    <w:rsid w:val="000112A8"/>
    <w:rsid w:val="00022F8D"/>
    <w:rsid w:val="00024020"/>
    <w:rsid w:val="000305BE"/>
    <w:rsid w:val="000426AB"/>
    <w:rsid w:val="0004314D"/>
    <w:rsid w:val="0004388B"/>
    <w:rsid w:val="000460EC"/>
    <w:rsid w:val="0005345C"/>
    <w:rsid w:val="000573A4"/>
    <w:rsid w:val="00061F08"/>
    <w:rsid w:val="000620A3"/>
    <w:rsid w:val="00062332"/>
    <w:rsid w:val="00062EF0"/>
    <w:rsid w:val="00070E14"/>
    <w:rsid w:val="00071642"/>
    <w:rsid w:val="000724D1"/>
    <w:rsid w:val="00074BF7"/>
    <w:rsid w:val="00092513"/>
    <w:rsid w:val="000A1A37"/>
    <w:rsid w:val="000A1D9A"/>
    <w:rsid w:val="000B1829"/>
    <w:rsid w:val="000B624F"/>
    <w:rsid w:val="000C31E1"/>
    <w:rsid w:val="000C3EB1"/>
    <w:rsid w:val="000C57EC"/>
    <w:rsid w:val="000C79DE"/>
    <w:rsid w:val="000D0FE5"/>
    <w:rsid w:val="000D51DF"/>
    <w:rsid w:val="000D689A"/>
    <w:rsid w:val="000D6F5A"/>
    <w:rsid w:val="0010021E"/>
    <w:rsid w:val="00106816"/>
    <w:rsid w:val="001137F5"/>
    <w:rsid w:val="00117743"/>
    <w:rsid w:val="00122785"/>
    <w:rsid w:val="00122D5A"/>
    <w:rsid w:val="00124682"/>
    <w:rsid w:val="001267A8"/>
    <w:rsid w:val="00133922"/>
    <w:rsid w:val="001340DA"/>
    <w:rsid w:val="00136D88"/>
    <w:rsid w:val="00147C77"/>
    <w:rsid w:val="00154ADE"/>
    <w:rsid w:val="00164091"/>
    <w:rsid w:val="00171CD6"/>
    <w:rsid w:val="001728B2"/>
    <w:rsid w:val="001854BD"/>
    <w:rsid w:val="00190E4A"/>
    <w:rsid w:val="001A2BF1"/>
    <w:rsid w:val="001A3074"/>
    <w:rsid w:val="001A692A"/>
    <w:rsid w:val="001B2828"/>
    <w:rsid w:val="001B714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0231"/>
    <w:rsid w:val="00251DC2"/>
    <w:rsid w:val="00257CC0"/>
    <w:rsid w:val="00266D0D"/>
    <w:rsid w:val="002675D4"/>
    <w:rsid w:val="002677D5"/>
    <w:rsid w:val="002714AD"/>
    <w:rsid w:val="00292F38"/>
    <w:rsid w:val="00296F5F"/>
    <w:rsid w:val="002D0D05"/>
    <w:rsid w:val="002D346B"/>
    <w:rsid w:val="002F6877"/>
    <w:rsid w:val="003116B0"/>
    <w:rsid w:val="00335159"/>
    <w:rsid w:val="00352A85"/>
    <w:rsid w:val="0035443F"/>
    <w:rsid w:val="00367471"/>
    <w:rsid w:val="0037583B"/>
    <w:rsid w:val="00376F13"/>
    <w:rsid w:val="0037799C"/>
    <w:rsid w:val="0038222D"/>
    <w:rsid w:val="003909E9"/>
    <w:rsid w:val="003B0980"/>
    <w:rsid w:val="003B1C57"/>
    <w:rsid w:val="003B7EF5"/>
    <w:rsid w:val="003D7860"/>
    <w:rsid w:val="003E5BBE"/>
    <w:rsid w:val="003F47FB"/>
    <w:rsid w:val="003F5163"/>
    <w:rsid w:val="00410EA5"/>
    <w:rsid w:val="00414FA3"/>
    <w:rsid w:val="00421425"/>
    <w:rsid w:val="00424C8E"/>
    <w:rsid w:val="00441100"/>
    <w:rsid w:val="00453961"/>
    <w:rsid w:val="00470438"/>
    <w:rsid w:val="00470C1D"/>
    <w:rsid w:val="0048188E"/>
    <w:rsid w:val="004830C0"/>
    <w:rsid w:val="004A6EF7"/>
    <w:rsid w:val="004A70EA"/>
    <w:rsid w:val="004C16B5"/>
    <w:rsid w:val="004C4921"/>
    <w:rsid w:val="004D495B"/>
    <w:rsid w:val="004E52AD"/>
    <w:rsid w:val="004F18CC"/>
    <w:rsid w:val="004F3534"/>
    <w:rsid w:val="004F4D02"/>
    <w:rsid w:val="0051260F"/>
    <w:rsid w:val="00531434"/>
    <w:rsid w:val="005519D6"/>
    <w:rsid w:val="00553214"/>
    <w:rsid w:val="00554562"/>
    <w:rsid w:val="0057767F"/>
    <w:rsid w:val="00591893"/>
    <w:rsid w:val="00596649"/>
    <w:rsid w:val="005A2FF8"/>
    <w:rsid w:val="005A39DD"/>
    <w:rsid w:val="005C3E7C"/>
    <w:rsid w:val="005C5B55"/>
    <w:rsid w:val="005E76E4"/>
    <w:rsid w:val="005F3776"/>
    <w:rsid w:val="00602D92"/>
    <w:rsid w:val="0060467B"/>
    <w:rsid w:val="00612041"/>
    <w:rsid w:val="0062082D"/>
    <w:rsid w:val="006209F7"/>
    <w:rsid w:val="00634732"/>
    <w:rsid w:val="00641EC0"/>
    <w:rsid w:val="00641F46"/>
    <w:rsid w:val="00645B26"/>
    <w:rsid w:val="00647FB3"/>
    <w:rsid w:val="0066071D"/>
    <w:rsid w:val="00666278"/>
    <w:rsid w:val="00676F47"/>
    <w:rsid w:val="0069493D"/>
    <w:rsid w:val="006B0F57"/>
    <w:rsid w:val="006C1D04"/>
    <w:rsid w:val="006C3BF8"/>
    <w:rsid w:val="006D0A68"/>
    <w:rsid w:val="006D1B2A"/>
    <w:rsid w:val="006E213C"/>
    <w:rsid w:val="007235B7"/>
    <w:rsid w:val="00737126"/>
    <w:rsid w:val="00742D5A"/>
    <w:rsid w:val="00756DAE"/>
    <w:rsid w:val="00763EEC"/>
    <w:rsid w:val="00764E91"/>
    <w:rsid w:val="007664A9"/>
    <w:rsid w:val="00767D35"/>
    <w:rsid w:val="00775C5C"/>
    <w:rsid w:val="007764E9"/>
    <w:rsid w:val="007818A6"/>
    <w:rsid w:val="007878B7"/>
    <w:rsid w:val="00792D77"/>
    <w:rsid w:val="007950DA"/>
    <w:rsid w:val="007974AD"/>
    <w:rsid w:val="007B70AF"/>
    <w:rsid w:val="007C7D63"/>
    <w:rsid w:val="007E6C0B"/>
    <w:rsid w:val="007F1612"/>
    <w:rsid w:val="007F3678"/>
    <w:rsid w:val="007F59C5"/>
    <w:rsid w:val="007F7D3A"/>
    <w:rsid w:val="00803E33"/>
    <w:rsid w:val="00812CF2"/>
    <w:rsid w:val="00822784"/>
    <w:rsid w:val="00826B48"/>
    <w:rsid w:val="008319C4"/>
    <w:rsid w:val="0083783D"/>
    <w:rsid w:val="008439AD"/>
    <w:rsid w:val="00845167"/>
    <w:rsid w:val="00867024"/>
    <w:rsid w:val="00873703"/>
    <w:rsid w:val="008A4450"/>
    <w:rsid w:val="008B015E"/>
    <w:rsid w:val="008B4012"/>
    <w:rsid w:val="008B5F27"/>
    <w:rsid w:val="008C330B"/>
    <w:rsid w:val="008F76DC"/>
    <w:rsid w:val="00912109"/>
    <w:rsid w:val="00916F6C"/>
    <w:rsid w:val="00923CFF"/>
    <w:rsid w:val="009419A4"/>
    <w:rsid w:val="00960C5D"/>
    <w:rsid w:val="009638CD"/>
    <w:rsid w:val="00963DAC"/>
    <w:rsid w:val="00967F48"/>
    <w:rsid w:val="00971246"/>
    <w:rsid w:val="009A369C"/>
    <w:rsid w:val="009C6C9F"/>
    <w:rsid w:val="009E56BF"/>
    <w:rsid w:val="009F3126"/>
    <w:rsid w:val="009F3833"/>
    <w:rsid w:val="00A13BFA"/>
    <w:rsid w:val="00A305F0"/>
    <w:rsid w:val="00A340A0"/>
    <w:rsid w:val="00A362FF"/>
    <w:rsid w:val="00A52725"/>
    <w:rsid w:val="00A75EC0"/>
    <w:rsid w:val="00A76220"/>
    <w:rsid w:val="00A809EA"/>
    <w:rsid w:val="00A83776"/>
    <w:rsid w:val="00A963F9"/>
    <w:rsid w:val="00AA012A"/>
    <w:rsid w:val="00AA7D10"/>
    <w:rsid w:val="00AC4DFD"/>
    <w:rsid w:val="00AD58BC"/>
    <w:rsid w:val="00AE267F"/>
    <w:rsid w:val="00AE75E0"/>
    <w:rsid w:val="00B15CA1"/>
    <w:rsid w:val="00B275F3"/>
    <w:rsid w:val="00B3020F"/>
    <w:rsid w:val="00B414D4"/>
    <w:rsid w:val="00B66E76"/>
    <w:rsid w:val="00B74277"/>
    <w:rsid w:val="00B7708D"/>
    <w:rsid w:val="00BC4799"/>
    <w:rsid w:val="00BC7C51"/>
    <w:rsid w:val="00BD289A"/>
    <w:rsid w:val="00BD2EC3"/>
    <w:rsid w:val="00BD5670"/>
    <w:rsid w:val="00BF5D0C"/>
    <w:rsid w:val="00C06A9F"/>
    <w:rsid w:val="00C13007"/>
    <w:rsid w:val="00C1430E"/>
    <w:rsid w:val="00C247BE"/>
    <w:rsid w:val="00C278BE"/>
    <w:rsid w:val="00C32854"/>
    <w:rsid w:val="00C53574"/>
    <w:rsid w:val="00C5470B"/>
    <w:rsid w:val="00C70B2C"/>
    <w:rsid w:val="00C72B99"/>
    <w:rsid w:val="00C76D53"/>
    <w:rsid w:val="00C802D5"/>
    <w:rsid w:val="00C9419D"/>
    <w:rsid w:val="00CA61A5"/>
    <w:rsid w:val="00CC1D9C"/>
    <w:rsid w:val="00CC3401"/>
    <w:rsid w:val="00CD13AF"/>
    <w:rsid w:val="00CF5239"/>
    <w:rsid w:val="00D013F6"/>
    <w:rsid w:val="00D03CCA"/>
    <w:rsid w:val="00D0537B"/>
    <w:rsid w:val="00D06FDE"/>
    <w:rsid w:val="00D14C42"/>
    <w:rsid w:val="00D504A0"/>
    <w:rsid w:val="00D56EAF"/>
    <w:rsid w:val="00D602C6"/>
    <w:rsid w:val="00D640F7"/>
    <w:rsid w:val="00D705FF"/>
    <w:rsid w:val="00D9722D"/>
    <w:rsid w:val="00DA3252"/>
    <w:rsid w:val="00DB0198"/>
    <w:rsid w:val="00DB67BD"/>
    <w:rsid w:val="00DC2A55"/>
    <w:rsid w:val="00DD2121"/>
    <w:rsid w:val="00DD34E0"/>
    <w:rsid w:val="00DD37CD"/>
    <w:rsid w:val="00DD7520"/>
    <w:rsid w:val="00DE4420"/>
    <w:rsid w:val="00DF5A64"/>
    <w:rsid w:val="00E00197"/>
    <w:rsid w:val="00E16609"/>
    <w:rsid w:val="00E3332D"/>
    <w:rsid w:val="00E536C0"/>
    <w:rsid w:val="00E5423F"/>
    <w:rsid w:val="00E57077"/>
    <w:rsid w:val="00E61BB2"/>
    <w:rsid w:val="00E72E1F"/>
    <w:rsid w:val="00E76359"/>
    <w:rsid w:val="00E77B4F"/>
    <w:rsid w:val="00E81C06"/>
    <w:rsid w:val="00E923A2"/>
    <w:rsid w:val="00EA33E1"/>
    <w:rsid w:val="00EB19B3"/>
    <w:rsid w:val="00EB4CB8"/>
    <w:rsid w:val="00EC079F"/>
    <w:rsid w:val="00EC1EC3"/>
    <w:rsid w:val="00EC5DA0"/>
    <w:rsid w:val="00ED349F"/>
    <w:rsid w:val="00ED35AD"/>
    <w:rsid w:val="00ED53B3"/>
    <w:rsid w:val="00ED7E1F"/>
    <w:rsid w:val="00EE7F58"/>
    <w:rsid w:val="00EF2AAB"/>
    <w:rsid w:val="00EF5C5A"/>
    <w:rsid w:val="00F115B8"/>
    <w:rsid w:val="00F151A1"/>
    <w:rsid w:val="00F3065E"/>
    <w:rsid w:val="00F30BD0"/>
    <w:rsid w:val="00F32EB7"/>
    <w:rsid w:val="00F370A0"/>
    <w:rsid w:val="00F57161"/>
    <w:rsid w:val="00F736BE"/>
    <w:rsid w:val="00F77DDB"/>
    <w:rsid w:val="00F90FB2"/>
    <w:rsid w:val="00FA43FE"/>
    <w:rsid w:val="00FB2526"/>
    <w:rsid w:val="00FB5D7E"/>
    <w:rsid w:val="00FC0C54"/>
    <w:rsid w:val="00FC41D5"/>
    <w:rsid w:val="00FC4BB0"/>
    <w:rsid w:val="00FD13B8"/>
    <w:rsid w:val="00FE73D6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4BD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  <w:style w:type="paragraph" w:customStyle="1" w:styleId="TableParagraph">
    <w:name w:val="Table Paragraph"/>
    <w:basedOn w:val="Normal"/>
    <w:uiPriority w:val="1"/>
    <w:qFormat/>
    <w:rsid w:val="00266D0D"/>
    <w:pPr>
      <w:widowControl w:val="0"/>
      <w:autoSpaceDE w:val="0"/>
      <w:autoSpaceDN w:val="0"/>
    </w:pPr>
    <w:rPr>
      <w:b w:val="0"/>
      <w:i w:val="0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266D0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340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205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7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cg2.com.br/application/legislativo/_lib/img/camara_nit_brasao_pb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2078-7C58-4267-9B96-5A1E9B08F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1008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2</cp:revision>
  <cp:lastPrinted>2026-05-20T21:11:00Z</cp:lastPrinted>
  <dcterms:created xsi:type="dcterms:W3CDTF">2026-05-26T12:50:00Z</dcterms:created>
  <dcterms:modified xsi:type="dcterms:W3CDTF">2026-05-26T12:50:00Z</dcterms:modified>
</cp:coreProperties>
</file>