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9DE68" w14:textId="201C15B2" w:rsidR="00D701F1" w:rsidRPr="00B35592" w:rsidRDefault="00071158" w:rsidP="00C5703C">
      <w:pPr>
        <w:shd w:val="clear" w:color="auto" w:fill="FFFFFF"/>
        <w:spacing w:after="240" w:line="276" w:lineRule="auto"/>
        <w:jc w:val="right"/>
        <w:rPr>
          <w:rFonts w:ascii="Tahoma" w:eastAsia="Arial" w:hAnsi="Tahoma" w:cs="Tahoma"/>
          <w:b/>
          <w:color w:val="000000" w:themeColor="text1"/>
        </w:rPr>
      </w:pPr>
      <w:r w:rsidRPr="00B35592">
        <w:rPr>
          <w:rFonts w:ascii="Tahoma" w:eastAsia="Arial" w:hAnsi="Tahoma" w:cs="Tahoma"/>
          <w:color w:val="000000" w:themeColor="text1"/>
        </w:rPr>
        <w:t xml:space="preserve">Niterói, </w:t>
      </w:r>
      <w:r w:rsidR="00167518" w:rsidRPr="00B35592">
        <w:rPr>
          <w:rFonts w:ascii="Tahoma" w:eastAsia="Arial" w:hAnsi="Tahoma" w:cs="Tahoma"/>
          <w:color w:val="000000" w:themeColor="text1"/>
        </w:rPr>
        <w:t>05</w:t>
      </w:r>
      <w:r w:rsidR="004C61F2" w:rsidRPr="00B35592">
        <w:rPr>
          <w:rFonts w:ascii="Tahoma" w:eastAsia="Arial" w:hAnsi="Tahoma" w:cs="Tahoma"/>
          <w:color w:val="000000" w:themeColor="text1"/>
        </w:rPr>
        <w:t xml:space="preserve"> de </w:t>
      </w:r>
      <w:r w:rsidR="00167518" w:rsidRPr="00B35592">
        <w:rPr>
          <w:rFonts w:ascii="Tahoma" w:eastAsia="Arial" w:hAnsi="Tahoma" w:cs="Tahoma"/>
          <w:color w:val="000000" w:themeColor="text1"/>
        </w:rPr>
        <w:t>maio de 2026</w:t>
      </w:r>
      <w:r w:rsidR="004C61F2" w:rsidRPr="00B35592">
        <w:rPr>
          <w:rFonts w:ascii="Tahoma" w:eastAsia="Arial" w:hAnsi="Tahoma" w:cs="Tahoma"/>
          <w:color w:val="000000" w:themeColor="text1"/>
        </w:rPr>
        <w:t>.</w:t>
      </w:r>
      <w:bookmarkStart w:id="0" w:name="_heading=h.6dtw82ie7vxd" w:colFirst="0" w:colLast="0"/>
      <w:bookmarkStart w:id="1" w:name="_heading=h.gjdgxs" w:colFirst="0" w:colLast="0"/>
      <w:bookmarkEnd w:id="0"/>
      <w:bookmarkEnd w:id="1"/>
    </w:p>
    <w:p w14:paraId="2E1ECDF2" w14:textId="5CBA4569" w:rsidR="00941CDC" w:rsidRPr="00B35592" w:rsidRDefault="004C61F2" w:rsidP="00C5703C">
      <w:pPr>
        <w:spacing w:line="276" w:lineRule="auto"/>
        <w:jc w:val="both"/>
        <w:rPr>
          <w:rFonts w:ascii="Tahoma" w:eastAsia="Arial" w:hAnsi="Tahoma" w:cs="Tahoma"/>
          <w:b/>
          <w:color w:val="000000" w:themeColor="text1"/>
        </w:rPr>
      </w:pPr>
      <w:r w:rsidRPr="00B35592">
        <w:rPr>
          <w:rFonts w:ascii="Tahoma" w:eastAsia="Arial" w:hAnsi="Tahoma" w:cs="Tahoma"/>
          <w:b/>
          <w:color w:val="000000" w:themeColor="text1"/>
        </w:rPr>
        <w:t>Parecer C</w:t>
      </w:r>
      <w:r w:rsidR="00624331" w:rsidRPr="00B35592">
        <w:rPr>
          <w:rFonts w:ascii="Tahoma" w:eastAsia="Arial" w:hAnsi="Tahoma" w:cs="Tahoma"/>
          <w:b/>
          <w:color w:val="000000" w:themeColor="text1"/>
        </w:rPr>
        <w:t>FFCO</w:t>
      </w:r>
      <w:r w:rsidRPr="00B35592">
        <w:rPr>
          <w:rFonts w:ascii="Tahoma" w:eastAsia="Arial" w:hAnsi="Tahoma" w:cs="Tahoma"/>
          <w:b/>
          <w:color w:val="000000" w:themeColor="text1"/>
        </w:rPr>
        <w:t xml:space="preserve"> Nº. </w:t>
      </w:r>
      <w:r w:rsidR="00C67B0C" w:rsidRPr="00B35592">
        <w:rPr>
          <w:rFonts w:ascii="Tahoma" w:eastAsia="Arial" w:hAnsi="Tahoma" w:cs="Tahoma"/>
          <w:b/>
          <w:color w:val="000000" w:themeColor="text1"/>
        </w:rPr>
        <w:t>00</w:t>
      </w:r>
      <w:r w:rsidR="00364197" w:rsidRPr="00B35592">
        <w:rPr>
          <w:rFonts w:ascii="Tahoma" w:eastAsia="Arial" w:hAnsi="Tahoma" w:cs="Tahoma"/>
          <w:b/>
          <w:color w:val="000000" w:themeColor="text1"/>
        </w:rPr>
        <w:t>1</w:t>
      </w:r>
      <w:r w:rsidR="00167518" w:rsidRPr="00B35592">
        <w:rPr>
          <w:rFonts w:ascii="Tahoma" w:eastAsia="Arial" w:hAnsi="Tahoma" w:cs="Tahoma"/>
          <w:b/>
          <w:color w:val="000000" w:themeColor="text1"/>
        </w:rPr>
        <w:t>/2026</w:t>
      </w:r>
      <w:r w:rsidR="005524DD">
        <w:rPr>
          <w:rFonts w:ascii="Tahoma" w:eastAsia="Arial" w:hAnsi="Tahoma" w:cs="Tahoma"/>
          <w:b/>
          <w:color w:val="000000" w:themeColor="text1"/>
        </w:rPr>
        <w:t xml:space="preserve"> </w:t>
      </w:r>
      <w:bookmarkStart w:id="2" w:name="_GoBack"/>
      <w:bookmarkEnd w:id="2"/>
    </w:p>
    <w:p w14:paraId="2AE3124A" w14:textId="0098FE0C" w:rsidR="00941CDC" w:rsidRPr="00B35592" w:rsidRDefault="00071158" w:rsidP="00C5703C">
      <w:pPr>
        <w:spacing w:line="276" w:lineRule="auto"/>
        <w:jc w:val="both"/>
        <w:rPr>
          <w:rFonts w:ascii="Tahoma" w:eastAsia="Arial" w:hAnsi="Tahoma" w:cs="Tahoma"/>
          <w:color w:val="000000" w:themeColor="text1"/>
        </w:rPr>
      </w:pPr>
      <w:r w:rsidRPr="00B35592">
        <w:rPr>
          <w:rFonts w:ascii="Tahoma" w:eastAsia="Arial" w:hAnsi="Tahoma" w:cs="Tahoma"/>
          <w:b/>
          <w:color w:val="000000" w:themeColor="text1"/>
        </w:rPr>
        <w:t xml:space="preserve">Projeto de Lei nº </w:t>
      </w:r>
      <w:r w:rsidR="00167518" w:rsidRPr="00B35592">
        <w:rPr>
          <w:rFonts w:ascii="Tahoma" w:eastAsia="Arial" w:hAnsi="Tahoma" w:cs="Tahoma"/>
          <w:b/>
          <w:color w:val="000000" w:themeColor="text1"/>
        </w:rPr>
        <w:t>137/2026</w:t>
      </w:r>
    </w:p>
    <w:p w14:paraId="3D367217" w14:textId="748CB6CE" w:rsidR="00941CDC" w:rsidRPr="00B35592" w:rsidRDefault="004C61F2" w:rsidP="00D641D2">
      <w:pPr>
        <w:spacing w:line="276" w:lineRule="auto"/>
        <w:jc w:val="both"/>
        <w:rPr>
          <w:rFonts w:ascii="Tahoma" w:eastAsia="Arial" w:hAnsi="Tahoma" w:cs="Tahoma"/>
          <w:b/>
          <w:color w:val="000000" w:themeColor="text1"/>
        </w:rPr>
      </w:pPr>
      <w:r w:rsidRPr="00B35592">
        <w:rPr>
          <w:rFonts w:ascii="Tahoma" w:eastAsia="Arial" w:hAnsi="Tahoma" w:cs="Tahoma"/>
          <w:b/>
          <w:color w:val="000000" w:themeColor="text1"/>
        </w:rPr>
        <w:t>Autor:</w:t>
      </w:r>
      <w:r w:rsidRPr="00B35592">
        <w:rPr>
          <w:rFonts w:ascii="Tahoma" w:eastAsia="Arial" w:hAnsi="Tahoma" w:cs="Tahoma"/>
          <w:color w:val="000000" w:themeColor="text1"/>
        </w:rPr>
        <w:t xml:space="preserve"> </w:t>
      </w:r>
      <w:r w:rsidRPr="00B35592">
        <w:rPr>
          <w:rFonts w:ascii="Tahoma" w:eastAsia="Arial" w:hAnsi="Tahoma" w:cs="Tahoma"/>
          <w:b/>
          <w:color w:val="000000" w:themeColor="text1"/>
        </w:rPr>
        <w:t>Prefeito Rodrigo Neves</w:t>
      </w:r>
    </w:p>
    <w:p w14:paraId="2B3662DD" w14:textId="77777777" w:rsidR="00D641D2" w:rsidRPr="00B35592" w:rsidRDefault="00D641D2" w:rsidP="00D641D2">
      <w:pPr>
        <w:spacing w:line="276" w:lineRule="auto"/>
        <w:jc w:val="both"/>
        <w:rPr>
          <w:rFonts w:ascii="Tahoma" w:eastAsia="Arial" w:hAnsi="Tahoma" w:cs="Tahoma"/>
          <w:b/>
          <w:color w:val="000000" w:themeColor="text1"/>
        </w:rPr>
      </w:pPr>
    </w:p>
    <w:p w14:paraId="0E1BE392" w14:textId="5EF620B8" w:rsidR="00D86293" w:rsidRPr="00B35592" w:rsidRDefault="004C61F2" w:rsidP="00D641D2">
      <w:pPr>
        <w:spacing w:after="240" w:line="276" w:lineRule="auto"/>
        <w:jc w:val="both"/>
        <w:rPr>
          <w:rFonts w:ascii="Tahoma" w:eastAsia="Arial" w:hAnsi="Tahoma" w:cs="Tahoma"/>
          <w:color w:val="000000" w:themeColor="text1"/>
        </w:rPr>
      </w:pPr>
      <w:r w:rsidRPr="00B35592">
        <w:rPr>
          <w:rFonts w:ascii="Tahoma" w:eastAsia="Arial" w:hAnsi="Tahoma" w:cs="Tahoma"/>
          <w:b/>
          <w:color w:val="000000" w:themeColor="text1"/>
        </w:rPr>
        <w:t>Ementa</w:t>
      </w:r>
      <w:r w:rsidRPr="00B35592">
        <w:rPr>
          <w:rFonts w:ascii="Tahoma" w:eastAsia="Arial" w:hAnsi="Tahoma" w:cs="Tahoma"/>
          <w:color w:val="000000" w:themeColor="text1"/>
        </w:rPr>
        <w:t>: “</w:t>
      </w:r>
      <w:r w:rsidR="00167518" w:rsidRPr="00B35592">
        <w:rPr>
          <w:rFonts w:ascii="Tahoma" w:eastAsia="Arial" w:hAnsi="Tahoma" w:cs="Tahoma"/>
          <w:color w:val="000000" w:themeColor="text1"/>
        </w:rPr>
        <w:t>Altera dispositivos da Lei Municipal nº 4.063, de 24 de outubro de 2025, que dispõe sobre o incentivo financeiro ao Carnaval da cidade de Niterói, com o objetivo de aprimorar os critérios de concessão de subvenções públicas, adequar a estrutura normativa às dinâmicas atuais das agremiações carnavalescas.</w:t>
      </w:r>
      <w:r w:rsidRPr="00B35592">
        <w:rPr>
          <w:rFonts w:ascii="Tahoma" w:eastAsia="Arial" w:hAnsi="Tahoma" w:cs="Tahoma"/>
          <w:color w:val="000000" w:themeColor="text1"/>
        </w:rPr>
        <w:t>”</w:t>
      </w:r>
    </w:p>
    <w:p w14:paraId="0EF14290" w14:textId="77777777" w:rsidR="00292B86" w:rsidRPr="00B35592" w:rsidRDefault="003E5860" w:rsidP="00292B86">
      <w:pPr>
        <w:spacing w:after="240" w:line="276" w:lineRule="auto"/>
        <w:rPr>
          <w:rFonts w:ascii="Tahoma" w:eastAsia="Arial" w:hAnsi="Tahoma" w:cs="Tahoma"/>
          <w:b/>
          <w:bCs/>
          <w:color w:val="000000" w:themeColor="text1"/>
        </w:rPr>
      </w:pPr>
      <w:r w:rsidRPr="00B35592">
        <w:rPr>
          <w:rFonts w:ascii="Tahoma" w:eastAsia="Arial" w:hAnsi="Tahoma" w:cs="Tahoma"/>
          <w:b/>
          <w:bCs/>
          <w:color w:val="000000" w:themeColor="text1"/>
        </w:rPr>
        <w:t xml:space="preserve">Voto Vencido </w:t>
      </w:r>
      <w:r w:rsidR="005F0555" w:rsidRPr="00B35592">
        <w:rPr>
          <w:rFonts w:ascii="Tahoma" w:eastAsia="Arial" w:hAnsi="Tahoma" w:cs="Tahoma"/>
          <w:b/>
          <w:bCs/>
          <w:color w:val="000000" w:themeColor="text1"/>
        </w:rPr>
        <w:t xml:space="preserve">CONTRÁRIO </w:t>
      </w:r>
      <w:r w:rsidRPr="00B35592">
        <w:rPr>
          <w:rFonts w:ascii="Tahoma" w:eastAsia="Arial" w:hAnsi="Tahoma" w:cs="Tahoma"/>
          <w:b/>
          <w:bCs/>
          <w:color w:val="000000" w:themeColor="text1"/>
        </w:rPr>
        <w:t>em Separado - Vereador Daniel</w:t>
      </w:r>
      <w:r w:rsidR="007B737F" w:rsidRPr="00B35592">
        <w:rPr>
          <w:rFonts w:ascii="Tahoma" w:eastAsia="Arial" w:hAnsi="Tahoma" w:cs="Tahoma"/>
          <w:b/>
          <w:bCs/>
          <w:color w:val="000000" w:themeColor="text1"/>
        </w:rPr>
        <w:t xml:space="preserve"> </w:t>
      </w:r>
      <w:r w:rsidRPr="00B35592">
        <w:rPr>
          <w:rFonts w:ascii="Tahoma" w:eastAsia="Arial" w:hAnsi="Tahoma" w:cs="Tahoma"/>
          <w:b/>
          <w:bCs/>
          <w:color w:val="000000" w:themeColor="text1"/>
        </w:rPr>
        <w:t>Marques</w:t>
      </w:r>
      <w:r w:rsidR="00292B86" w:rsidRPr="00B35592">
        <w:rPr>
          <w:rFonts w:ascii="Tahoma" w:eastAsia="Arial" w:hAnsi="Tahoma" w:cs="Tahoma"/>
          <w:b/>
          <w:bCs/>
          <w:color w:val="000000" w:themeColor="text1"/>
        </w:rPr>
        <w:t xml:space="preserve"> – Membro da CFFCO.</w:t>
      </w:r>
    </w:p>
    <w:p w14:paraId="2788AEF1" w14:textId="77777777" w:rsidR="00292B86" w:rsidRPr="00B35592" w:rsidRDefault="00292B86" w:rsidP="00292B86">
      <w:pPr>
        <w:spacing w:after="240" w:line="276" w:lineRule="auto"/>
        <w:rPr>
          <w:rFonts w:ascii="Tahoma" w:eastAsia="Arial" w:hAnsi="Tahoma" w:cs="Tahoma"/>
          <w:b/>
          <w:bCs/>
          <w:color w:val="000000" w:themeColor="text1"/>
        </w:rPr>
      </w:pPr>
    </w:p>
    <w:p w14:paraId="69CEE6E5" w14:textId="5893574B" w:rsidR="00B73717" w:rsidRPr="00B35592" w:rsidRDefault="00B73717" w:rsidP="00292B86">
      <w:pPr>
        <w:spacing w:after="240" w:line="276" w:lineRule="auto"/>
        <w:ind w:firstLine="709"/>
        <w:rPr>
          <w:rFonts w:ascii="Tahoma" w:eastAsia="Arial" w:hAnsi="Tahoma" w:cs="Tahoma"/>
          <w:b/>
          <w:bCs/>
          <w:color w:val="000000" w:themeColor="text1"/>
        </w:rPr>
      </w:pPr>
      <w:r w:rsidRPr="00B35592">
        <w:rPr>
          <w:rFonts w:ascii="Tahoma" w:eastAsia="Arial" w:hAnsi="Tahoma" w:cs="Tahoma"/>
          <w:b/>
          <w:bCs/>
          <w:color w:val="000000" w:themeColor="text1"/>
        </w:rPr>
        <w:t>I – RELATÓRIO</w:t>
      </w:r>
    </w:p>
    <w:p w14:paraId="09BFF9DA" w14:textId="77777777" w:rsidR="00364197" w:rsidRPr="00B35592" w:rsidRDefault="00364197" w:rsidP="00364197">
      <w:p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</w:p>
    <w:p w14:paraId="15F4DB47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Trata-se do Projeto de Lei nº 137/2026, encaminhado por meio da Mensagem Executiva nº 08/2026, de autoria do Poder Executivo, que pretende alterar a Lei Municipal nº 4.063, de 24 de outubro de 2025, referente ao incentivo financeiro ao Carnaval da cidade de Niterói.</w:t>
      </w:r>
    </w:p>
    <w:p w14:paraId="6D8CE07F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</w:p>
    <w:p w14:paraId="508D60B2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 proposição altera o art. 3º da Lei Municipal nº 4.063/2025, modifica o Anexo I da referida lei e fixa a subvenção social destinada às escolas de samba integrantes do Grupo Especial (LIESA) em R$ 9.000.000,00 (nove milhões de reais) cada.</w:t>
      </w:r>
    </w:p>
    <w:p w14:paraId="5AC3708B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</w:p>
    <w:p w14:paraId="16C16335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Segundo a justificativa encaminhada pelo Executivo, a medida teria por finalidade fortalecer o Carnaval como manifestação cultural, vetor turístico e instrumento de dinamização econômica, bem como permitir o planejamento antecipado das atividades carnavalescas.</w:t>
      </w:r>
    </w:p>
    <w:p w14:paraId="1407B283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</w:p>
    <w:p w14:paraId="0657FF4B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lastRenderedPageBreak/>
        <w:t>Consta, ainda, da Mensagem Executiva que, para o Carnaval de 2027, a agremiação Acadêmicos de Niterói não integrará o Grupo Especial, remanescendo, a princípio, apenas a Unidos do Viradouro nessa categoria. No exercício anterior, havia duas agremiações niteroienses no Grupo Especial: Unidos do Viradouro e Acadêmicos de Niterói.</w:t>
      </w:r>
    </w:p>
    <w:p w14:paraId="78E9A075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</w:p>
    <w:p w14:paraId="35BD9BE5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 matéria encontra-se em segunda discussão. Registra-se, contudo, questão preliminar de ordem regimental relativa ao parecer favorável atribuído à Comissão Permanente de Fiscalização Financeira, Controle e Orçamento, uma vez que, segundo informado, não teria havido regular designação de relator seguida de reunião deliberativa da Comissão, tendo o Presidente da Comissão assumido a relatoria e emitido parecer favorável sem deliberação colegiada regular.</w:t>
      </w:r>
    </w:p>
    <w:p w14:paraId="46126F8A" w14:textId="77777777" w:rsidR="00435F43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</w:p>
    <w:p w14:paraId="5D6DD14C" w14:textId="63E45C76" w:rsidR="00B73717" w:rsidRPr="00B35592" w:rsidRDefault="00435F43" w:rsidP="00435F43">
      <w:pPr>
        <w:spacing w:line="360" w:lineRule="auto"/>
        <w:ind w:firstLine="709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É o relatório.</w:t>
      </w:r>
    </w:p>
    <w:p w14:paraId="4ABC015E" w14:textId="77777777" w:rsidR="00435F43" w:rsidRPr="00B35592" w:rsidRDefault="00435F43" w:rsidP="00435F43">
      <w:pPr>
        <w:spacing w:line="360" w:lineRule="auto"/>
        <w:jc w:val="both"/>
        <w:rPr>
          <w:rFonts w:ascii="Tahoma" w:eastAsia="Arial" w:hAnsi="Tahoma" w:cs="Tahoma"/>
          <w:b/>
          <w:color w:val="000000" w:themeColor="text1"/>
        </w:rPr>
      </w:pPr>
    </w:p>
    <w:p w14:paraId="3319907C" w14:textId="68BB6EED" w:rsidR="00364197" w:rsidRPr="00B35592" w:rsidRDefault="00B73717" w:rsidP="00435F43">
      <w:pPr>
        <w:spacing w:line="360" w:lineRule="auto"/>
        <w:ind w:left="709"/>
        <w:jc w:val="both"/>
        <w:rPr>
          <w:rFonts w:ascii="Tahoma" w:eastAsia="Arial" w:hAnsi="Tahoma" w:cs="Tahoma"/>
          <w:b/>
          <w:bCs/>
          <w:color w:val="000000" w:themeColor="text1"/>
        </w:rPr>
      </w:pPr>
      <w:r w:rsidRPr="00B35592">
        <w:rPr>
          <w:rFonts w:ascii="Tahoma" w:eastAsia="Arial" w:hAnsi="Tahoma" w:cs="Tahoma"/>
          <w:b/>
          <w:bCs/>
          <w:color w:val="000000" w:themeColor="text1"/>
        </w:rPr>
        <w:t xml:space="preserve">II – </w:t>
      </w:r>
      <w:r w:rsidR="00435F43" w:rsidRPr="00B35592">
        <w:rPr>
          <w:rFonts w:ascii="Tahoma" w:eastAsia="Arial" w:hAnsi="Tahoma" w:cs="Tahoma"/>
          <w:b/>
          <w:bCs/>
          <w:color w:val="000000" w:themeColor="text1"/>
        </w:rPr>
        <w:t>PRELIMINAR REGIMENTAL: NECESSIDADE DE REGULAR DELIBERAÇÃO DA COMISSÃO</w:t>
      </w:r>
    </w:p>
    <w:p w14:paraId="799B5728" w14:textId="77777777" w:rsidR="00435F43" w:rsidRPr="00B35592" w:rsidRDefault="00435F43" w:rsidP="00364197">
      <w:pPr>
        <w:spacing w:line="360" w:lineRule="auto"/>
        <w:jc w:val="both"/>
        <w:rPr>
          <w:rFonts w:ascii="Tahoma" w:eastAsia="Arial" w:hAnsi="Tahoma" w:cs="Tahoma"/>
          <w:b/>
          <w:bCs/>
          <w:color w:val="000000" w:themeColor="text1"/>
        </w:rPr>
      </w:pPr>
    </w:p>
    <w:p w14:paraId="43F91DB2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Antes da análise de mérito, impõe-se registrar vício no procedimento de emissão do parecer favorável atribuído à CFFCO.</w:t>
      </w:r>
    </w:p>
    <w:p w14:paraId="46F511AD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42B3F5C9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O Regimento Interno da Câmara Municipal de Niterói estabelece que compete ao Presidente da Comissão dar conhecimento à Comissão da matéria recebida e distribuí-la aos relatores para emissão de parecer. Também prevê que, encaminhado expediente ao Presidente da Comissão Permanente, este deverá designar relator no prazo regimental.</w:t>
      </w:r>
    </w:p>
    <w:p w14:paraId="0CE8F4FE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600B6700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Além disso, o parecer da Comissão não se confunde com manifestação individual de seu Presidente ou de seu Relator. O pronunciamento do relator deve ser submetido à deliberação da Comissão, prevalecendo como parecer apenas se aprovado pela maioria de votos dos membros.</w:t>
      </w:r>
    </w:p>
    <w:p w14:paraId="307B43B7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03E19FB9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Portanto, ainda que se admita, em tese, a possibilidade de o Presidente atuar como relator quando regularmente designado, não se pode dispensar a reunião da Comissão, a ciência aos seus membros, a deliberação colegiada e a coleta das assinaturas ou manifestações regimentais cabíveis.</w:t>
      </w:r>
    </w:p>
    <w:p w14:paraId="01B92054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3619D8C2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No caso concreto, a informação de que o Presidente da Comissão teria se autodesignado relator e emitido parecer favorável sem reunião deliberativa regular compromete a validade regimental do parecer favorável atribuído à CFFCO, especialmente por se tratar da Comissão competente para apreciar matéria que altera despesa, acarreta responsabilidade ao Erário Municipal e exige exame orçamentário-financeiro.</w:t>
      </w:r>
    </w:p>
    <w:p w14:paraId="189D64B2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0577472A" w14:textId="692CBF74" w:rsidR="00364197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Assim, requer-se o registro deste voto vencido em separado e, se for o caso, a correção do vício procedimental, com observância do rito regimental próprio das Comissões Permanentes.</w:t>
      </w:r>
    </w:p>
    <w:p w14:paraId="2EB05790" w14:textId="77777777" w:rsidR="00364197" w:rsidRPr="00B35592" w:rsidRDefault="00364197" w:rsidP="00364197">
      <w:p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</w:p>
    <w:p w14:paraId="048BE1EA" w14:textId="2F7C9239" w:rsidR="0086335D" w:rsidRPr="00B35592" w:rsidRDefault="0086335D" w:rsidP="00435F43">
      <w:pPr>
        <w:spacing w:line="360" w:lineRule="auto"/>
        <w:ind w:firstLine="709"/>
        <w:jc w:val="both"/>
        <w:rPr>
          <w:rFonts w:ascii="Tahoma" w:eastAsia="Arial" w:hAnsi="Tahoma" w:cs="Tahoma"/>
          <w:b/>
          <w:bCs/>
          <w:color w:val="000000" w:themeColor="text1"/>
        </w:rPr>
      </w:pPr>
      <w:r w:rsidRPr="00B35592">
        <w:rPr>
          <w:rFonts w:ascii="Tahoma" w:eastAsia="Arial" w:hAnsi="Tahoma" w:cs="Tahoma"/>
          <w:b/>
          <w:bCs/>
          <w:color w:val="000000" w:themeColor="text1"/>
        </w:rPr>
        <w:t xml:space="preserve">III – </w:t>
      </w:r>
      <w:r w:rsidR="00435F43" w:rsidRPr="00B35592">
        <w:rPr>
          <w:rFonts w:ascii="Tahoma" w:eastAsia="Arial" w:hAnsi="Tahoma" w:cs="Tahoma"/>
          <w:b/>
          <w:bCs/>
          <w:color w:val="000000" w:themeColor="text1"/>
        </w:rPr>
        <w:t>ANÁLISE DE MÉRITO</w:t>
      </w:r>
    </w:p>
    <w:p w14:paraId="01710787" w14:textId="77777777" w:rsidR="00364197" w:rsidRPr="00B35592" w:rsidRDefault="00364197" w:rsidP="0086335D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</w:rPr>
      </w:pPr>
    </w:p>
    <w:p w14:paraId="28BB33CF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 finalidade cultural do Carnaval é legítima e reconhecida. O presente voto não nega a relevância das escolas de samba, da cadeia produtiva da cultura, dos trabalhadores do setor, do turismo e da economia criativa para Niterói.</w:t>
      </w:r>
    </w:p>
    <w:p w14:paraId="30BF62D1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780FD846" w14:textId="3B716EF0" w:rsidR="00364197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 divergência aqui apresentada é de ordem fiscal, orçamentária, jurídica e institucional</w:t>
      </w:r>
      <w:r w:rsidR="00176029" w:rsidRPr="00B35592">
        <w:rPr>
          <w:rFonts w:ascii="Tahoma" w:eastAsia="Arial" w:hAnsi="Tahoma" w:cs="Tahoma"/>
          <w:bCs/>
          <w:color w:val="000000" w:themeColor="text1"/>
        </w:rPr>
        <w:t>.</w:t>
      </w:r>
      <w:r w:rsidRPr="00B35592">
        <w:rPr>
          <w:rFonts w:ascii="Tahoma" w:eastAsia="Arial" w:hAnsi="Tahoma" w:cs="Tahoma"/>
          <w:bCs/>
          <w:color w:val="000000" w:themeColor="text1"/>
        </w:rPr>
        <w:t xml:space="preserve"> </w:t>
      </w:r>
      <w:r w:rsidR="00176029" w:rsidRPr="00B35592">
        <w:rPr>
          <w:rFonts w:ascii="Tahoma" w:eastAsia="Arial" w:hAnsi="Tahoma" w:cs="Tahoma"/>
          <w:bCs/>
          <w:color w:val="000000" w:themeColor="text1"/>
        </w:rPr>
        <w:t>O</w:t>
      </w:r>
      <w:r w:rsidRPr="00B35592">
        <w:rPr>
          <w:rFonts w:ascii="Tahoma" w:eastAsia="Arial" w:hAnsi="Tahoma" w:cs="Tahoma"/>
          <w:bCs/>
          <w:color w:val="000000" w:themeColor="text1"/>
        </w:rPr>
        <w:t xml:space="preserve"> projeto, tal como encaminhado, aumenta de forma expressiva a subvenção pública destinada ao Grupo Especial sem apresentar fundamentação técnica suficiente, memória de cálculo compatível, critérios objetivos de distribuição e demonstração adequada de responsabilidade fiscal.</w:t>
      </w:r>
    </w:p>
    <w:p w14:paraId="560E9113" w14:textId="07E07600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0B2FBC93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  <w:u w:val="single"/>
        </w:rPr>
      </w:pP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lastRenderedPageBreak/>
        <w:t>1. Inconsistência entre o valor do projeto e o impacto orçamentário apresentado</w:t>
      </w:r>
    </w:p>
    <w:p w14:paraId="4161FD5D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6741A7D5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O art. 2º do Projeto de Lei fixa o valor da subvenção social destinada às escolas de samba integrantes do Grupo Especial (LIESA) em R$ 9.000.000,00 (nove milhões de reais) cada.</w:t>
      </w:r>
    </w:p>
    <w:p w14:paraId="5CD0886B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470E5C3E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Entretanto, o demonstrativo de impacto orçamentário-financeiro apresentado pelo próprio Executivo informa, para o exercício de 2027, impacto de R$ 4.153.600,00, calculado a partir da atualização do valor de R$ 4.000.000,00 pelo IPCA e considerando o rebaixamento da Acadêmicos de Niterói.</w:t>
      </w:r>
    </w:p>
    <w:p w14:paraId="0CF59B88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455C5E30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Há, portanto, incompatibilidade objetiva entre o texto normativo e o impacto financeiro apresentado. O projeto fala em R$ 9.000.000,00 por agremiação do Grupo Especial, enquanto o impacto anexado trabalha com valor pouco superior a R$ 4.000.000,00.</w:t>
      </w:r>
    </w:p>
    <w:p w14:paraId="0396309B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33D363A1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Essa divergência não é meramente formal. Ela impede que esta Casa Legislativa saiba, com precisão, qual é o efetivo impacto da proposição, qual será a fonte de custeio, qual dotação suportará a despesa e qual despesa pública está sendo autorizada.</w:t>
      </w:r>
    </w:p>
    <w:p w14:paraId="4FA1EF9A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1271D82A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Matéria dessa natureza não pode ser aprovada com demonstrativo financeiro incompatível com o próprio texto da lei que se pretende alterar.</w:t>
      </w:r>
    </w:p>
    <w:p w14:paraId="347E8858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75415D93" w14:textId="46E26998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  <w:u w:val="single"/>
        </w:rPr>
      </w:pP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2.</w:t>
      </w:r>
      <w:r w:rsidR="007B737F"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 xml:space="preserve"> Ausência de justificativa para majoração superior ao dobro do valor anteriormente praticado</w:t>
      </w:r>
    </w:p>
    <w:p w14:paraId="76F9C47B" w14:textId="66F3A1D6" w:rsidR="007B737F" w:rsidRPr="00B35592" w:rsidRDefault="007B737F" w:rsidP="00435F43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  <w:u w:val="single"/>
        </w:rPr>
      </w:pPr>
    </w:p>
    <w:p w14:paraId="33AD66A5" w14:textId="77777777" w:rsidR="007B737F" w:rsidRPr="00B35592" w:rsidRDefault="007B737F" w:rsidP="007B737F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lastRenderedPageBreak/>
        <w:t>Também merece destaque que, conforme informado, a Unidos do Viradouro, com o incentivo recebido no exercício anterior, sagrou-se campeã no Carnaval deste ano. Esse dado reforça a necessidade de motivação técnica específica para a majoração pretendida.</w:t>
      </w:r>
    </w:p>
    <w:p w14:paraId="1E479DD0" w14:textId="77777777" w:rsidR="007B737F" w:rsidRPr="00B35592" w:rsidRDefault="007B737F" w:rsidP="007B737F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3C7DEE2F" w14:textId="209F5A86" w:rsidR="007B737F" w:rsidRPr="00B35592" w:rsidRDefault="007B737F" w:rsidP="007B737F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Se o valor anteriormente repassado já se mostrou suficiente para viabilizar desempenho artístico e competitivo de excelência, culminando no primeiro lugar, não há justificativa objetiva nos autos para mais que dobrar a subvenção pública destinada à mesma categoria. A ampliação de R$4.000.000,00 para R$9.000.000,00 exige demonstração concreta de aumento de custos, novas obrigações, metas públicas adicionais, contrapartidas mensuráveis ou outro fundamento técnico que comprove a necessidade, a proporcionalidade e a economicidade da medida.</w:t>
      </w:r>
    </w:p>
    <w:p w14:paraId="46274EB3" w14:textId="77777777" w:rsidR="007B737F" w:rsidRPr="00B35592" w:rsidRDefault="007B737F" w:rsidP="007B737F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2B947206" w14:textId="289A446D" w:rsidR="007B737F" w:rsidRPr="00B35592" w:rsidRDefault="007B737F" w:rsidP="007B737F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Sem essa justificativa, a majoração aparenta decorrer mais de opção discricionária do que de necessidade pública comprovada, o que fragiliza a análise sob os princípios da razoabilidade, eficiência, economicidade e responsabilidade na gestão dos recursos públicos.</w:t>
      </w:r>
    </w:p>
    <w:p w14:paraId="413FC145" w14:textId="45E64C55" w:rsidR="007B737F" w:rsidRPr="00B35592" w:rsidRDefault="007B737F" w:rsidP="007B737F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717F6CDF" w14:textId="10FF705B" w:rsidR="007B737F" w:rsidRPr="00B35592" w:rsidRDefault="007B737F" w:rsidP="007B737F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  <w:u w:val="single"/>
        </w:rPr>
      </w:pP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3</w:t>
      </w: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 xml:space="preserve">. </w:t>
      </w: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Ausência de memória de cálculo e demonstração suficiente de adequação fiscal</w:t>
      </w:r>
    </w:p>
    <w:p w14:paraId="67AFC6C9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5D6A0CEC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 Lei de Responsabilidade Fiscal exige que a criação, expansão ou aperfeiçoamento de ação governamental que acarrete aumento de despesa venha acompanhada de estimativa de impacto orçamentário-financeiro e declaração de adequação orçamentária e financeira com a Lei Orçamentária Anual, bem como compatibilidade com o Plano Plurianual e a Lei de Diretrizes Orçamentárias.</w:t>
      </w:r>
    </w:p>
    <w:p w14:paraId="487E95E5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3B495C11" w14:textId="1C609C7A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 xml:space="preserve">No caso, a documentação apresentada não demonstra de forma suficiente a compatibilidade do aumento proposto com o planejamento orçamentário municipal. O impacto financeiro não detalha memória de cálculo que justifique a elevação para R$9.000.000,00, não discrimina adequadamente a dotação orçamentária, não apresenta </w:t>
      </w:r>
      <w:r w:rsidRPr="00B35592">
        <w:rPr>
          <w:rFonts w:ascii="Tahoma" w:eastAsia="Arial" w:hAnsi="Tahoma" w:cs="Tahoma"/>
          <w:bCs/>
          <w:color w:val="000000" w:themeColor="text1"/>
        </w:rPr>
        <w:lastRenderedPageBreak/>
        <w:t>estudo comparativo de custos, não indica parâmetros objetivos de dimensionamento da subvenção e não esclarece a origem dos recursos para suportar o aumento pretendido.</w:t>
      </w:r>
    </w:p>
    <w:p w14:paraId="085DC4E8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1057ABC3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Além disso, a proposição altera despesa pública que tende a produzir efeitos para exercícios futuros, razão pela qual deve ser examinada com ainda maior cautela sob a ótica da responsabilidade fiscal.</w:t>
      </w:r>
    </w:p>
    <w:p w14:paraId="0E650327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5436A231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Sem tais elementos, o Legislativo não exerce controle orçamentário real: apenas chancela uma autorização genérica de despesa, sem segurança técnica suficiente.</w:t>
      </w:r>
    </w:p>
    <w:p w14:paraId="4EF92663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47429615" w14:textId="5E673CE4" w:rsidR="00435F43" w:rsidRPr="00B35592" w:rsidRDefault="007B737F" w:rsidP="00435F43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  <w:u w:val="single"/>
        </w:rPr>
      </w:pP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4</w:t>
      </w:r>
      <w:r w:rsidR="00435F43"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. Risco de afronta à isonomia, impessoalidade e moralidade administrativa</w:t>
      </w:r>
    </w:p>
    <w:p w14:paraId="60846F9B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53BA6E31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No Carnaval de 2026, Niterói possuía duas agremiações no Grupo Especial: Unidos do Viradouro e Acadêmicos de Niterói. Houve discussão sobre a diferença de valores inicialmente prevista entre as agremiações, tendo sido necessária intervenção do Ministério Público para impedir tratamento desigual e assegurar repasse isonômico.</w:t>
      </w:r>
    </w:p>
    <w:p w14:paraId="32222252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628B796E" w14:textId="415FA6F9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Para o Carnaval de 2027, a Acadêmicos de Niterói não integrará o Grupo Especial, remanescendo, a princípio, apenas a Unidos do Viradouro. Nesse contexto, a majoração para R$9.000.000,00, sem justificativa técnica robusta e sem critérios legais objetivos, produz forte risco institucional: a lei, embora formalmente redigida por categoria, na prática passa a beneficiar uma única agremiação específica.</w:t>
      </w:r>
    </w:p>
    <w:p w14:paraId="1BBE6268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71D1E367" w14:textId="32DE6ADC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Esse cenário exige cautela redobrada. A subvenção pública deve estar apoiada em critérios impessoais, objetivos, verificáveis e aplicáveis de modo uniforme a todas as agremiações que eventualmente integrem a categoria. Não basta indicar genericamente o Grupo Especial</w:t>
      </w:r>
      <w:r w:rsidR="00292B86" w:rsidRPr="00B35592">
        <w:rPr>
          <w:rFonts w:ascii="Tahoma" w:eastAsia="Arial" w:hAnsi="Tahoma" w:cs="Tahoma"/>
          <w:bCs/>
          <w:color w:val="000000" w:themeColor="text1"/>
        </w:rPr>
        <w:t>,</w:t>
      </w:r>
      <w:r w:rsidRPr="00B35592">
        <w:rPr>
          <w:rFonts w:ascii="Tahoma" w:eastAsia="Arial" w:hAnsi="Tahoma" w:cs="Tahoma"/>
          <w:bCs/>
          <w:color w:val="000000" w:themeColor="text1"/>
        </w:rPr>
        <w:t xml:space="preserve"> </w:t>
      </w:r>
      <w:r w:rsidR="00292B86" w:rsidRPr="00B35592">
        <w:rPr>
          <w:rFonts w:ascii="Tahoma" w:eastAsia="Arial" w:hAnsi="Tahoma" w:cs="Tahoma"/>
          <w:bCs/>
          <w:color w:val="000000" w:themeColor="text1"/>
        </w:rPr>
        <w:t>é</w:t>
      </w:r>
      <w:r w:rsidRPr="00B35592">
        <w:rPr>
          <w:rFonts w:ascii="Tahoma" w:eastAsia="Arial" w:hAnsi="Tahoma" w:cs="Tahoma"/>
          <w:bCs/>
          <w:color w:val="000000" w:themeColor="text1"/>
        </w:rPr>
        <w:t xml:space="preserve"> necessário demonstrar que o valor foi definido por parâmetros técnicos e não por circunstância casuística.</w:t>
      </w:r>
    </w:p>
    <w:p w14:paraId="1C0DEC64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5D328979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O art. 3º do projeto remete os critérios de distribuição ao Poder Executivo e à regulamentação aplicável, mas não estabelece balizas legais suficientes. Essa abertura excessiva amplia o risco de discricionariedade indevida na aplicação de recursos públicos e fragiliza o controle legislativo, social e institucional da despesa.</w:t>
      </w:r>
    </w:p>
    <w:p w14:paraId="76D0DC4B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45A01452" w14:textId="13E476FD" w:rsidR="00435F43" w:rsidRPr="00B35592" w:rsidRDefault="007B737F" w:rsidP="00435F43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  <w:u w:val="single"/>
        </w:rPr>
      </w:pP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5</w:t>
      </w:r>
      <w:r w:rsidR="00435F43"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. Subvenção pública exige controle reforçado e prestação de contas qualificada</w:t>
      </w:r>
    </w:p>
    <w:p w14:paraId="293856FF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716E39DE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Subvenções sociais são transferências de recursos públicos que devem observar finalidade pública, limites financeiros, regularidade da entidade beneficiária, controle de execução e prestação de contas.</w:t>
      </w:r>
    </w:p>
    <w:p w14:paraId="2CAEF38F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4EC27CCE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Embora o projeto preveja vedações a algumas despesas estranhas ao objeto, o texto ainda é insuficiente para justificar a majoração pretendida. A proposta não condiciona o aumento a metas, indicadores, contrapartidas, plano de trabalho detalhado, comprovação de execução física e financeira compatível com o valor recebido, nem mecanismos de avaliação de resultado.</w:t>
      </w:r>
    </w:p>
    <w:p w14:paraId="163ACC19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68B485B7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 simples relevância cultural do Carnaval não dispensa controle. Ao contrário: quanto maior o volume de recursos públicos transferidos, maior deve ser a exigência de transparência, economicidade, impessoalidade, prestação de contas e avaliação do interesse público.</w:t>
      </w:r>
    </w:p>
    <w:p w14:paraId="707AA4E1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2C143F0E" w14:textId="55C69A0E" w:rsidR="00435F43" w:rsidRPr="00B35592" w:rsidRDefault="007B737F" w:rsidP="00435F43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  <w:u w:val="single"/>
        </w:rPr>
      </w:pP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6</w:t>
      </w:r>
      <w:r w:rsidR="00435F43"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. Ausência de diversificação de fontes e dependência excessiva do Tesouro Municipal</w:t>
      </w:r>
    </w:p>
    <w:p w14:paraId="1FC3C48B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3457D4C6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 xml:space="preserve">O projeto não apresenta estratégia de diversificação das fontes de financiamento do Carnaval, nem condiciona a política pública à busca de patrocínios, receitas privadas, </w:t>
      </w:r>
      <w:r w:rsidRPr="00B35592">
        <w:rPr>
          <w:rFonts w:ascii="Tahoma" w:eastAsia="Arial" w:hAnsi="Tahoma" w:cs="Tahoma"/>
          <w:bCs/>
          <w:color w:val="000000" w:themeColor="text1"/>
        </w:rPr>
        <w:lastRenderedPageBreak/>
        <w:t>parcerias culturais, contrapartidas econômicas ou mecanismos de sustentabilidade financeira.</w:t>
      </w:r>
    </w:p>
    <w:p w14:paraId="288A8653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07983959" w14:textId="739B7810" w:rsidR="007B737F" w:rsidRDefault="00435F43" w:rsidP="00292B86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Com isso, mantém-se modelo excessivamente dependente do Tesouro Municipal, elevando o custo direto para o orçamento sem demonstrar medidas de mitigação ou compensação. Em cenário de prioridades concorrentes nas áreas de saúde, educação, assistência social, mobilidade, segurança urbana e infraestrutura, a ampliação de subvenção dessa magnitude exige motivação técnica mais consistente do que a apresentada.</w:t>
      </w:r>
    </w:p>
    <w:p w14:paraId="2E59EA76" w14:textId="77777777" w:rsidR="00B35592" w:rsidRPr="00B35592" w:rsidRDefault="00B35592" w:rsidP="00292B86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6EBFFE95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/>
          <w:bCs/>
          <w:color w:val="000000" w:themeColor="text1"/>
        </w:rPr>
      </w:pPr>
      <w:r w:rsidRPr="00B35592">
        <w:rPr>
          <w:rFonts w:ascii="Tahoma" w:eastAsia="Arial" w:hAnsi="Tahoma" w:cs="Tahoma"/>
          <w:b/>
          <w:bCs/>
          <w:color w:val="000000" w:themeColor="text1"/>
        </w:rPr>
        <w:t>IV – CONCLUSÃO E VOTO</w:t>
      </w:r>
    </w:p>
    <w:p w14:paraId="56967A30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65DA582E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 xml:space="preserve">Diante do exposto, este Vereador manifesta-se </w:t>
      </w: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CONTRARIAMENTE</w:t>
      </w:r>
      <w:r w:rsidRPr="00B35592">
        <w:rPr>
          <w:rFonts w:ascii="Tahoma" w:eastAsia="Arial" w:hAnsi="Tahoma" w:cs="Tahoma"/>
          <w:bCs/>
          <w:color w:val="000000" w:themeColor="text1"/>
        </w:rPr>
        <w:t xml:space="preserve"> à aprovação do Projeto de Lei nº 137/2026, pelas seguintes razões:</w:t>
      </w:r>
    </w:p>
    <w:p w14:paraId="0475C743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356A140E" w14:textId="77777777" w:rsidR="00435F43" w:rsidRPr="00B35592" w:rsidRDefault="00435F43" w:rsidP="00435F4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há vício regimental no parecer favorável atribuído à CFFCO, diante da ausência de regular deliberação colegiada, conforme informado;</w:t>
      </w:r>
    </w:p>
    <w:p w14:paraId="41903833" w14:textId="0D957035" w:rsidR="00435F43" w:rsidRPr="00B35592" w:rsidRDefault="00435F43" w:rsidP="00435F4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o valor fixado no projeto, de R$9.000.000,00 por agremiação do Grupo Especial, não corresponde ao impacto orçamentário-financeiro apresentado pelo Executivo;</w:t>
      </w:r>
    </w:p>
    <w:p w14:paraId="54C8D192" w14:textId="77777777" w:rsidR="00435F43" w:rsidRPr="00B35592" w:rsidRDefault="00435F43" w:rsidP="00435F4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não foi apresentada memória de cálculo suficiente para justificar a majoração proposta;</w:t>
      </w:r>
    </w:p>
    <w:p w14:paraId="371CAE19" w14:textId="77777777" w:rsidR="00435F43" w:rsidRPr="00B35592" w:rsidRDefault="00435F43" w:rsidP="00435F4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não há demonstração adequada da origem dos recursos, da compatibilidade com o PPA, a LDO e a LOA, nem declaração financeira suficiente para fins de responsabilidade fiscal;</w:t>
      </w:r>
    </w:p>
    <w:p w14:paraId="624FC9AD" w14:textId="77777777" w:rsidR="00435F43" w:rsidRPr="00B35592" w:rsidRDefault="00435F43" w:rsidP="00435F4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o projeto amplia despesa pública relevante sem estabelecer critérios legais objetivos de distribuição, controle e avaliação;</w:t>
      </w:r>
    </w:p>
    <w:p w14:paraId="29F8CE76" w14:textId="77777777" w:rsidR="00435F43" w:rsidRPr="00B35592" w:rsidRDefault="00435F43" w:rsidP="00435F4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>a existência de apenas uma agremiação no Grupo Especial para o Carnaval de 2027 aumenta o risco de tratamento casuístico, exigindo fundamentação impessoal e técnica mais robusta;</w:t>
      </w:r>
    </w:p>
    <w:p w14:paraId="49154BD3" w14:textId="77777777" w:rsidR="00435F43" w:rsidRPr="00B35592" w:rsidRDefault="00435F43" w:rsidP="00435F4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lastRenderedPageBreak/>
        <w:t>a proposição não fortalece, de forma proporcional ao aumento pretendido, os mecanismos de transparência, fiscalização, prestação de contas e sustentabilidade financeira.</w:t>
      </w:r>
    </w:p>
    <w:p w14:paraId="510AB804" w14:textId="77777777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</w:p>
    <w:p w14:paraId="28B88DB8" w14:textId="23424D8B" w:rsidR="00435F43" w:rsidRPr="00B35592" w:rsidRDefault="00435F43" w:rsidP="00435F43">
      <w:pPr>
        <w:spacing w:line="360" w:lineRule="auto"/>
        <w:ind w:firstLine="708"/>
        <w:jc w:val="both"/>
        <w:rPr>
          <w:rFonts w:ascii="Tahoma" w:eastAsia="Arial" w:hAnsi="Tahoma" w:cs="Tahoma"/>
          <w:bCs/>
          <w:color w:val="000000" w:themeColor="text1"/>
        </w:rPr>
      </w:pPr>
      <w:r w:rsidRPr="00B35592">
        <w:rPr>
          <w:rFonts w:ascii="Tahoma" w:eastAsia="Arial" w:hAnsi="Tahoma" w:cs="Tahoma"/>
          <w:bCs/>
          <w:color w:val="000000" w:themeColor="text1"/>
        </w:rPr>
        <w:t xml:space="preserve">Assim, voto pela </w:t>
      </w:r>
      <w:r w:rsidRPr="00B35592">
        <w:rPr>
          <w:rFonts w:ascii="Tahoma" w:eastAsia="Arial" w:hAnsi="Tahoma" w:cs="Tahoma"/>
          <w:b/>
          <w:bCs/>
          <w:color w:val="000000" w:themeColor="text1"/>
          <w:u w:val="single"/>
        </w:rPr>
        <w:t>REJEIÇÃO</w:t>
      </w:r>
      <w:r w:rsidRPr="00B35592">
        <w:rPr>
          <w:rFonts w:ascii="Tahoma" w:eastAsia="Arial" w:hAnsi="Tahoma" w:cs="Tahoma"/>
          <w:bCs/>
          <w:color w:val="000000" w:themeColor="text1"/>
        </w:rPr>
        <w:t xml:space="preserve"> do Projeto de Lei nº 137/2026, recomendando, alternativamente, caso o Poder Executivo entenda necessária a reapresentação da matéria, que o faça com novo estudo de impacto orçamentário-financeiro compatível com o texto proposto, memória de cálculo detalhada, indicação expressa da fonte de custeio, demonstração de compatibilidade com o planejamento orçamentário, critérios objetivos e impessoais de distribuição, bem como mecanismos reforçados de controle, transparência e prestação de contas.</w:t>
      </w:r>
    </w:p>
    <w:p w14:paraId="40C220EE" w14:textId="52D8287E" w:rsidR="00941CDC" w:rsidRPr="00B35592" w:rsidRDefault="00B03816" w:rsidP="005D651E">
      <w:pPr>
        <w:spacing w:line="360" w:lineRule="auto"/>
        <w:ind w:firstLine="708"/>
        <w:jc w:val="both"/>
        <w:rPr>
          <w:rFonts w:ascii="Tahoma" w:hAnsi="Tahoma" w:cs="Tahoma"/>
          <w:color w:val="FF0000"/>
        </w:rPr>
      </w:pPr>
      <w:r w:rsidRPr="00B35592">
        <w:rPr>
          <w:rFonts w:ascii="Tahoma" w:eastAsia="Tahoma" w:hAnsi="Tahoma" w:cs="Tahoma"/>
          <w:color w:val="FF0000"/>
        </w:rPr>
        <w:tab/>
      </w:r>
      <w:r w:rsidRPr="00B35592">
        <w:rPr>
          <w:rFonts w:ascii="Tahoma" w:eastAsia="Tahoma" w:hAnsi="Tahoma" w:cs="Tahoma"/>
          <w:b/>
          <w:color w:val="FF0000"/>
        </w:rPr>
        <w:tab/>
        <w:t xml:space="preserve">   </w:t>
      </w:r>
    </w:p>
    <w:p w14:paraId="62CBE589" w14:textId="44903BF7" w:rsidR="005D651E" w:rsidRPr="00B35592" w:rsidRDefault="00D17A31" w:rsidP="005D651E">
      <w:pPr>
        <w:jc w:val="right"/>
        <w:rPr>
          <w:rFonts w:ascii="Tahoma" w:eastAsia="Arial" w:hAnsi="Tahoma" w:cs="Tahoma"/>
          <w:color w:val="000000" w:themeColor="text1"/>
        </w:rPr>
      </w:pPr>
      <w:r w:rsidRPr="00B35592">
        <w:rPr>
          <w:rFonts w:ascii="Tahoma" w:eastAsia="Arial" w:hAnsi="Tahoma" w:cs="Tahoma"/>
          <w:color w:val="000000" w:themeColor="text1"/>
        </w:rPr>
        <w:t xml:space="preserve">Sala das Sessões, </w:t>
      </w:r>
      <w:r w:rsidR="00364197" w:rsidRPr="00B35592">
        <w:rPr>
          <w:rFonts w:ascii="Tahoma" w:eastAsia="Arial" w:hAnsi="Tahoma" w:cs="Tahoma"/>
          <w:color w:val="000000" w:themeColor="text1"/>
        </w:rPr>
        <w:t>05</w:t>
      </w:r>
      <w:r w:rsidR="004C61F2" w:rsidRPr="00B35592">
        <w:rPr>
          <w:rFonts w:ascii="Tahoma" w:eastAsia="Arial" w:hAnsi="Tahoma" w:cs="Tahoma"/>
          <w:color w:val="000000" w:themeColor="text1"/>
        </w:rPr>
        <w:t xml:space="preserve"> de </w:t>
      </w:r>
      <w:r w:rsidR="00364197" w:rsidRPr="00B35592">
        <w:rPr>
          <w:rFonts w:ascii="Tahoma" w:eastAsia="Arial" w:hAnsi="Tahoma" w:cs="Tahoma"/>
          <w:color w:val="000000" w:themeColor="text1"/>
        </w:rPr>
        <w:t>maio de 2026</w:t>
      </w:r>
      <w:r w:rsidR="005D651E" w:rsidRPr="00B35592">
        <w:rPr>
          <w:rFonts w:ascii="Tahoma" w:eastAsia="Arial" w:hAnsi="Tahoma" w:cs="Tahoma"/>
          <w:color w:val="000000" w:themeColor="text1"/>
        </w:rPr>
        <w:t>.</w:t>
      </w:r>
    </w:p>
    <w:p w14:paraId="2A118B73" w14:textId="77777777" w:rsidR="00D701F1" w:rsidRPr="00B35592" w:rsidRDefault="00D701F1" w:rsidP="005D651E">
      <w:pPr>
        <w:jc w:val="right"/>
        <w:rPr>
          <w:rFonts w:ascii="Tahoma" w:eastAsia="Arial" w:hAnsi="Tahoma" w:cs="Tahoma"/>
          <w:color w:val="000000" w:themeColor="text1"/>
        </w:rPr>
      </w:pPr>
    </w:p>
    <w:p w14:paraId="2958A4F1" w14:textId="28D469B2" w:rsidR="00D701F1" w:rsidRPr="00B35592" w:rsidRDefault="00D701F1" w:rsidP="00D86293">
      <w:pPr>
        <w:rPr>
          <w:rFonts w:ascii="Tahoma" w:eastAsia="Arial" w:hAnsi="Tahoma" w:cs="Tahoma"/>
          <w:color w:val="000000" w:themeColor="text1"/>
        </w:rPr>
      </w:pPr>
    </w:p>
    <w:p w14:paraId="77E79FE3" w14:textId="77777777" w:rsidR="00435F43" w:rsidRPr="00B35592" w:rsidRDefault="00435F43" w:rsidP="00D86293">
      <w:pPr>
        <w:rPr>
          <w:rFonts w:ascii="Tahoma" w:eastAsia="Arial" w:hAnsi="Tahoma" w:cs="Tahoma"/>
          <w:color w:val="000000" w:themeColor="text1"/>
        </w:rPr>
      </w:pPr>
    </w:p>
    <w:p w14:paraId="2696D0B4" w14:textId="77777777" w:rsidR="00435F43" w:rsidRPr="00B35592" w:rsidRDefault="00435F43" w:rsidP="00D86293">
      <w:pPr>
        <w:rPr>
          <w:rFonts w:ascii="Tahoma" w:eastAsia="Arial" w:hAnsi="Tahoma" w:cs="Tahoma"/>
          <w:color w:val="000000" w:themeColor="text1"/>
        </w:rPr>
      </w:pPr>
    </w:p>
    <w:p w14:paraId="70B4679C" w14:textId="77777777" w:rsidR="005C6015" w:rsidRPr="00B35592" w:rsidRDefault="005C6015" w:rsidP="008731BA">
      <w:pPr>
        <w:jc w:val="center"/>
        <w:rPr>
          <w:rFonts w:ascii="Tahoma" w:hAnsi="Tahoma" w:cs="Tahoma"/>
        </w:rPr>
      </w:pPr>
      <w:r w:rsidRPr="00B35592">
        <w:rPr>
          <w:rFonts w:ascii="Tahoma" w:eastAsia="Arial" w:hAnsi="Tahoma" w:cs="Tahoma"/>
          <w:color w:val="000000" w:themeColor="text1"/>
        </w:rPr>
        <w:t>_________________________________________</w:t>
      </w:r>
    </w:p>
    <w:p w14:paraId="2F6D0855" w14:textId="4BC308BD" w:rsidR="005C6015" w:rsidRPr="00B35592" w:rsidRDefault="005C6015" w:rsidP="008731BA">
      <w:pPr>
        <w:jc w:val="center"/>
        <w:rPr>
          <w:rFonts w:ascii="Tahoma" w:eastAsia="Arial" w:hAnsi="Tahoma" w:cs="Tahoma"/>
          <w:color w:val="000000" w:themeColor="text1"/>
        </w:rPr>
      </w:pPr>
      <w:r w:rsidRPr="00B35592">
        <w:rPr>
          <w:rFonts w:ascii="Tahoma" w:eastAsia="Arial" w:hAnsi="Tahoma" w:cs="Tahoma"/>
          <w:b/>
          <w:bCs/>
          <w:color w:val="000000" w:themeColor="text1"/>
        </w:rPr>
        <w:t>Daniel Marques</w:t>
      </w:r>
    </w:p>
    <w:p w14:paraId="39E0C2D4" w14:textId="77777777" w:rsidR="00435F43" w:rsidRPr="00B35592" w:rsidRDefault="0086335D" w:rsidP="005C6015">
      <w:pPr>
        <w:jc w:val="center"/>
        <w:rPr>
          <w:rFonts w:ascii="Tahoma" w:eastAsia="Arial" w:hAnsi="Tahoma" w:cs="Tahoma"/>
          <w:color w:val="000000" w:themeColor="text1"/>
        </w:rPr>
      </w:pPr>
      <w:r w:rsidRPr="00B35592">
        <w:rPr>
          <w:rFonts w:ascii="Tahoma" w:eastAsia="Arial" w:hAnsi="Tahoma" w:cs="Tahoma"/>
          <w:color w:val="000000" w:themeColor="text1"/>
        </w:rPr>
        <w:t>Vereador</w:t>
      </w:r>
    </w:p>
    <w:p w14:paraId="0E957688" w14:textId="161E70A7" w:rsidR="005C6015" w:rsidRPr="00B35592" w:rsidRDefault="0086335D" w:rsidP="00435F43">
      <w:pPr>
        <w:jc w:val="center"/>
        <w:rPr>
          <w:rFonts w:ascii="Tahoma" w:eastAsia="Arial" w:hAnsi="Tahoma" w:cs="Tahoma"/>
          <w:color w:val="000000" w:themeColor="text1"/>
        </w:rPr>
      </w:pPr>
      <w:r w:rsidRPr="00B35592">
        <w:rPr>
          <w:rFonts w:ascii="Tahoma" w:eastAsia="Arial" w:hAnsi="Tahoma" w:cs="Tahoma"/>
          <w:color w:val="000000" w:themeColor="text1"/>
        </w:rPr>
        <w:t>Membro</w:t>
      </w:r>
      <w:r w:rsidR="00435F43" w:rsidRPr="00B35592">
        <w:rPr>
          <w:rFonts w:ascii="Tahoma" w:eastAsia="Arial" w:hAnsi="Tahoma" w:cs="Tahoma"/>
          <w:color w:val="000000" w:themeColor="text1"/>
        </w:rPr>
        <w:t xml:space="preserve"> da </w:t>
      </w:r>
      <w:r w:rsidRPr="00B35592">
        <w:rPr>
          <w:rFonts w:ascii="Tahoma" w:eastAsia="Arial" w:hAnsi="Tahoma" w:cs="Tahoma"/>
          <w:color w:val="000000" w:themeColor="text1"/>
        </w:rPr>
        <w:t>CFFCO</w:t>
      </w:r>
    </w:p>
    <w:sectPr w:rsidR="005C6015" w:rsidRPr="00B35592" w:rsidSect="00D641D2">
      <w:headerReference w:type="default" r:id="rId8"/>
      <w:footerReference w:type="default" r:id="rId9"/>
      <w:pgSz w:w="11906" w:h="16838"/>
      <w:pgMar w:top="1134" w:right="1134" w:bottom="1134" w:left="1134" w:header="709" w:footer="283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63B62" w14:textId="77777777" w:rsidR="002E7160" w:rsidRDefault="002E7160">
      <w:r>
        <w:separator/>
      </w:r>
    </w:p>
  </w:endnote>
  <w:endnote w:type="continuationSeparator" w:id="0">
    <w:p w14:paraId="4F436360" w14:textId="77777777" w:rsidR="002E7160" w:rsidRDefault="002E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3EF182DC-208A-4CEC-85C5-6EABDD501A7D}"/>
  </w:font>
  <w:font w:name="Liberation Sans">
    <w:altName w:val="Arial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C758FFDF-FDE7-48B9-9A28-8ADDFC7FD6EA}"/>
    <w:embedBold r:id="rId3" w:fontKey="{ADE70C32-8A19-4B29-B714-BCA549809CBC}"/>
    <w:embedItalic r:id="rId4" w:fontKey="{15567B9D-26C8-492F-A48E-6286EBBF8C0C}"/>
    <w:embedBoldItalic r:id="rId5" w:fontKey="{A606D78D-8967-45E5-A757-B867F23B16EC}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6" w:fontKey="{D11E7DC0-479F-438D-9364-5FC3E6C1C78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A10BD8E-2E1B-4685-BCBC-B36E8276A73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DE5867E0-0212-4B6A-8430-2839FB613D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E49AA" w14:textId="4BF29EC0" w:rsidR="00B03816" w:rsidRPr="00A63146" w:rsidRDefault="004C61F2" w:rsidP="00B038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tab/>
    </w:r>
    <w:r w:rsidR="00B03816"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="00364197">
      <w:rPr>
        <w:rFonts w:ascii="Tahoma" w:eastAsia="Tahoma" w:hAnsi="Tahoma" w:cs="Tahoma"/>
        <w:b/>
        <w:color w:val="000000"/>
        <w:sz w:val="16"/>
        <w:szCs w:val="16"/>
      </w:rPr>
      <w:t>BG</w:t>
    </w:r>
  </w:p>
  <w:p w14:paraId="606CAC63" w14:textId="77777777" w:rsidR="00B03816" w:rsidRPr="00A63146" w:rsidRDefault="00B03816" w:rsidP="00B038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>
      <w:rPr>
        <w:rFonts w:ascii="Tahoma" w:hAnsi="Tahoma" w:cs="Tahoma"/>
        <w:b/>
        <w:i/>
        <w:color w:val="000000"/>
        <w:sz w:val="16"/>
        <w:szCs w:val="16"/>
      </w:rPr>
      <w:t xml:space="preserve"> 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14:paraId="441E438E" w14:textId="77777777" w:rsidR="00B03816" w:rsidRPr="00A63146" w:rsidRDefault="00B03816" w:rsidP="00B038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8FD66" w14:textId="77777777" w:rsidR="002E7160" w:rsidRDefault="002E7160">
      <w:r>
        <w:separator/>
      </w:r>
    </w:p>
  </w:footnote>
  <w:footnote w:type="continuationSeparator" w:id="0">
    <w:p w14:paraId="025138A1" w14:textId="77777777" w:rsidR="002E7160" w:rsidRDefault="002E7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1"/>
      <w:tblW w:w="9648" w:type="dxa"/>
      <w:tblInd w:w="-230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941CDC" w14:paraId="3155431B" w14:textId="77777777">
      <w:trPr>
        <w:trHeight w:val="1971"/>
      </w:trPr>
      <w:tc>
        <w:tcPr>
          <w:tcW w:w="1726" w:type="dxa"/>
        </w:tcPr>
        <w:p w14:paraId="700AF14B" w14:textId="77777777" w:rsidR="00941CDC" w:rsidRDefault="004C61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sz w:val="22"/>
              <w:szCs w:val="22"/>
            </w:rPr>
          </w:pPr>
          <w:r>
            <w:rPr>
              <w:noProof/>
              <w:lang w:eastAsia="pt-BR"/>
            </w:rPr>
            <w:drawing>
              <wp:inline distT="0" distB="0" distL="0" distR="0" wp14:anchorId="1B28F554" wp14:editId="0D58570F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14:paraId="6ED7C5A7" w14:textId="77777777" w:rsidR="00941CDC" w:rsidRDefault="00941C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sz w:val="22"/>
              <w:szCs w:val="22"/>
            </w:rPr>
          </w:pPr>
        </w:p>
        <w:p w14:paraId="66EECF1C" w14:textId="77777777" w:rsidR="00941CDC" w:rsidRDefault="004C61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sz w:val="48"/>
              <w:szCs w:val="48"/>
            </w:rPr>
          </w:pPr>
          <w:r>
            <w:rPr>
              <w:rFonts w:ascii="Tahoma" w:eastAsia="Tahoma" w:hAnsi="Tahoma" w:cs="Tahoma"/>
              <w:b/>
              <w:sz w:val="48"/>
              <w:szCs w:val="48"/>
            </w:rPr>
            <w:t>Câmara Municipal de Niterói</w:t>
          </w:r>
        </w:p>
        <w:p w14:paraId="728C44A1" w14:textId="77777777" w:rsidR="00941CDC" w:rsidRDefault="00941C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sz w:val="4"/>
              <w:szCs w:val="4"/>
            </w:rPr>
          </w:pPr>
        </w:p>
        <w:p w14:paraId="0A31BE11" w14:textId="7FCFFD06" w:rsidR="00941CDC" w:rsidRPr="00624331" w:rsidRDefault="00624331" w:rsidP="00624331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24331">
            <w:rPr>
              <w:rFonts w:ascii="Tahoma" w:hAnsi="Tahoma" w:cs="Arial"/>
              <w:b/>
              <w:sz w:val="28"/>
              <w:szCs w:val="28"/>
            </w:rPr>
            <w:t>Comissão Permanente de Fiscalização Financeira, Controle e Orçamento - CFFCO</w:t>
          </w:r>
        </w:p>
      </w:tc>
    </w:tr>
  </w:tbl>
  <w:p w14:paraId="2EFC2DBD" w14:textId="77777777" w:rsidR="00941CDC" w:rsidRDefault="00941C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A14AE"/>
    <w:multiLevelType w:val="multilevel"/>
    <w:tmpl w:val="0F70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F121A"/>
    <w:multiLevelType w:val="multilevel"/>
    <w:tmpl w:val="62189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3585C"/>
    <w:multiLevelType w:val="hybridMultilevel"/>
    <w:tmpl w:val="2D72E40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0525307"/>
    <w:multiLevelType w:val="multilevel"/>
    <w:tmpl w:val="DD9C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0D2B67"/>
    <w:multiLevelType w:val="multilevel"/>
    <w:tmpl w:val="A1F23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2518D9"/>
    <w:multiLevelType w:val="multilevel"/>
    <w:tmpl w:val="FE86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9130B"/>
    <w:multiLevelType w:val="hybridMultilevel"/>
    <w:tmpl w:val="6296AD7A"/>
    <w:lvl w:ilvl="0" w:tplc="0416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F871123"/>
    <w:multiLevelType w:val="hybridMultilevel"/>
    <w:tmpl w:val="3960706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91C2628"/>
    <w:multiLevelType w:val="multilevel"/>
    <w:tmpl w:val="2320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A506AD"/>
    <w:multiLevelType w:val="hybridMultilevel"/>
    <w:tmpl w:val="8E1AE6EE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46102C3"/>
    <w:multiLevelType w:val="multilevel"/>
    <w:tmpl w:val="22A0D4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C5795"/>
    <w:multiLevelType w:val="multilevel"/>
    <w:tmpl w:val="6C86B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2"/>
  </w:num>
  <w:num w:numId="10">
    <w:abstractNumId w:val="7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CDC"/>
    <w:rsid w:val="00022E24"/>
    <w:rsid w:val="00043D63"/>
    <w:rsid w:val="00055A00"/>
    <w:rsid w:val="00057137"/>
    <w:rsid w:val="00071158"/>
    <w:rsid w:val="00077444"/>
    <w:rsid w:val="000A1A35"/>
    <w:rsid w:val="000A7B5E"/>
    <w:rsid w:val="000C18EB"/>
    <w:rsid w:val="000D352D"/>
    <w:rsid w:val="000D384F"/>
    <w:rsid w:val="000E5F40"/>
    <w:rsid w:val="001007E6"/>
    <w:rsid w:val="0012273D"/>
    <w:rsid w:val="001247D6"/>
    <w:rsid w:val="001375FF"/>
    <w:rsid w:val="0015072B"/>
    <w:rsid w:val="00167518"/>
    <w:rsid w:val="00170F83"/>
    <w:rsid w:val="00176029"/>
    <w:rsid w:val="00194C22"/>
    <w:rsid w:val="001974AD"/>
    <w:rsid w:val="001977E4"/>
    <w:rsid w:val="001B5BE1"/>
    <w:rsid w:val="001C169C"/>
    <w:rsid w:val="001D05C7"/>
    <w:rsid w:val="001D6B97"/>
    <w:rsid w:val="001F23F3"/>
    <w:rsid w:val="001F3EEA"/>
    <w:rsid w:val="00200D90"/>
    <w:rsid w:val="00216195"/>
    <w:rsid w:val="0022478C"/>
    <w:rsid w:val="00241433"/>
    <w:rsid w:val="00251B4A"/>
    <w:rsid w:val="00257EAB"/>
    <w:rsid w:val="00262B9A"/>
    <w:rsid w:val="00267114"/>
    <w:rsid w:val="00271A9B"/>
    <w:rsid w:val="002744BF"/>
    <w:rsid w:val="00290B95"/>
    <w:rsid w:val="00292B86"/>
    <w:rsid w:val="002A7B39"/>
    <w:rsid w:val="002B13CF"/>
    <w:rsid w:val="002C63DE"/>
    <w:rsid w:val="002D752D"/>
    <w:rsid w:val="002E7160"/>
    <w:rsid w:val="002F051C"/>
    <w:rsid w:val="00315999"/>
    <w:rsid w:val="0032010D"/>
    <w:rsid w:val="003230F8"/>
    <w:rsid w:val="00336380"/>
    <w:rsid w:val="00344BA4"/>
    <w:rsid w:val="003520E8"/>
    <w:rsid w:val="00357A2F"/>
    <w:rsid w:val="00364197"/>
    <w:rsid w:val="0038115C"/>
    <w:rsid w:val="00381E9A"/>
    <w:rsid w:val="003D67E0"/>
    <w:rsid w:val="003E5860"/>
    <w:rsid w:val="003E6C5C"/>
    <w:rsid w:val="003F2B02"/>
    <w:rsid w:val="003F3F31"/>
    <w:rsid w:val="0042790E"/>
    <w:rsid w:val="00430CC1"/>
    <w:rsid w:val="00435F43"/>
    <w:rsid w:val="004463F4"/>
    <w:rsid w:val="00453737"/>
    <w:rsid w:val="00465C39"/>
    <w:rsid w:val="004B287C"/>
    <w:rsid w:val="004B49D9"/>
    <w:rsid w:val="004C61F2"/>
    <w:rsid w:val="004C66A4"/>
    <w:rsid w:val="004D714F"/>
    <w:rsid w:val="004E0B3A"/>
    <w:rsid w:val="005153F8"/>
    <w:rsid w:val="005172FF"/>
    <w:rsid w:val="00521406"/>
    <w:rsid w:val="0052205B"/>
    <w:rsid w:val="0052457D"/>
    <w:rsid w:val="0053237E"/>
    <w:rsid w:val="0053453A"/>
    <w:rsid w:val="00540586"/>
    <w:rsid w:val="0054547E"/>
    <w:rsid w:val="005469F9"/>
    <w:rsid w:val="00551CF4"/>
    <w:rsid w:val="005524DD"/>
    <w:rsid w:val="00586621"/>
    <w:rsid w:val="005A2D39"/>
    <w:rsid w:val="005B2E5F"/>
    <w:rsid w:val="005B3D3E"/>
    <w:rsid w:val="005C6015"/>
    <w:rsid w:val="005C7A40"/>
    <w:rsid w:val="005D651E"/>
    <w:rsid w:val="005F0555"/>
    <w:rsid w:val="00624331"/>
    <w:rsid w:val="006619AB"/>
    <w:rsid w:val="00683A2D"/>
    <w:rsid w:val="00695556"/>
    <w:rsid w:val="00695C19"/>
    <w:rsid w:val="006963AB"/>
    <w:rsid w:val="006D2EF6"/>
    <w:rsid w:val="006E2D0B"/>
    <w:rsid w:val="006F0594"/>
    <w:rsid w:val="00700786"/>
    <w:rsid w:val="00731091"/>
    <w:rsid w:val="00737B79"/>
    <w:rsid w:val="00772389"/>
    <w:rsid w:val="00792E2A"/>
    <w:rsid w:val="007B737F"/>
    <w:rsid w:val="007D2134"/>
    <w:rsid w:val="007E7967"/>
    <w:rsid w:val="007F45EF"/>
    <w:rsid w:val="007F6FE9"/>
    <w:rsid w:val="008063EB"/>
    <w:rsid w:val="00836716"/>
    <w:rsid w:val="0086335D"/>
    <w:rsid w:val="008731BA"/>
    <w:rsid w:val="008858A7"/>
    <w:rsid w:val="008A099B"/>
    <w:rsid w:val="008A5500"/>
    <w:rsid w:val="008A640B"/>
    <w:rsid w:val="008B45B3"/>
    <w:rsid w:val="008C5C0D"/>
    <w:rsid w:val="008D4A16"/>
    <w:rsid w:val="008D6AFB"/>
    <w:rsid w:val="008E2295"/>
    <w:rsid w:val="008E4BD8"/>
    <w:rsid w:val="009159ED"/>
    <w:rsid w:val="00933DE8"/>
    <w:rsid w:val="00935D74"/>
    <w:rsid w:val="00941CDC"/>
    <w:rsid w:val="009601DE"/>
    <w:rsid w:val="00982025"/>
    <w:rsid w:val="0098770C"/>
    <w:rsid w:val="009B64E3"/>
    <w:rsid w:val="009E5AA1"/>
    <w:rsid w:val="009E6CAD"/>
    <w:rsid w:val="009F20BF"/>
    <w:rsid w:val="00A144D0"/>
    <w:rsid w:val="00A2175E"/>
    <w:rsid w:val="00A344C1"/>
    <w:rsid w:val="00A43038"/>
    <w:rsid w:val="00A442BC"/>
    <w:rsid w:val="00A7167F"/>
    <w:rsid w:val="00A730A2"/>
    <w:rsid w:val="00A84E2C"/>
    <w:rsid w:val="00AC441A"/>
    <w:rsid w:val="00AE09D2"/>
    <w:rsid w:val="00AE3B82"/>
    <w:rsid w:val="00B0109D"/>
    <w:rsid w:val="00B03816"/>
    <w:rsid w:val="00B35592"/>
    <w:rsid w:val="00B42280"/>
    <w:rsid w:val="00B42D57"/>
    <w:rsid w:val="00B50C84"/>
    <w:rsid w:val="00B54F51"/>
    <w:rsid w:val="00B55D45"/>
    <w:rsid w:val="00B73717"/>
    <w:rsid w:val="00B754C4"/>
    <w:rsid w:val="00B77BAF"/>
    <w:rsid w:val="00B91AD7"/>
    <w:rsid w:val="00BA3607"/>
    <w:rsid w:val="00BA6F4F"/>
    <w:rsid w:val="00BC1859"/>
    <w:rsid w:val="00BC7114"/>
    <w:rsid w:val="00BD29FB"/>
    <w:rsid w:val="00BD41B1"/>
    <w:rsid w:val="00BE7AAD"/>
    <w:rsid w:val="00BF0B4C"/>
    <w:rsid w:val="00BF17BF"/>
    <w:rsid w:val="00C06134"/>
    <w:rsid w:val="00C129D2"/>
    <w:rsid w:val="00C256A7"/>
    <w:rsid w:val="00C30A99"/>
    <w:rsid w:val="00C36BFC"/>
    <w:rsid w:val="00C41456"/>
    <w:rsid w:val="00C47487"/>
    <w:rsid w:val="00C54080"/>
    <w:rsid w:val="00C5703C"/>
    <w:rsid w:val="00C6565B"/>
    <w:rsid w:val="00C67B0C"/>
    <w:rsid w:val="00C85684"/>
    <w:rsid w:val="00C90B58"/>
    <w:rsid w:val="00CA5544"/>
    <w:rsid w:val="00CB6085"/>
    <w:rsid w:val="00CC6B48"/>
    <w:rsid w:val="00CD6A93"/>
    <w:rsid w:val="00CE2C87"/>
    <w:rsid w:val="00D01EED"/>
    <w:rsid w:val="00D10277"/>
    <w:rsid w:val="00D17A31"/>
    <w:rsid w:val="00D273C6"/>
    <w:rsid w:val="00D50DF8"/>
    <w:rsid w:val="00D641D2"/>
    <w:rsid w:val="00D701F1"/>
    <w:rsid w:val="00D71832"/>
    <w:rsid w:val="00D84818"/>
    <w:rsid w:val="00D86293"/>
    <w:rsid w:val="00DA775A"/>
    <w:rsid w:val="00DD7565"/>
    <w:rsid w:val="00DF13C0"/>
    <w:rsid w:val="00E051A4"/>
    <w:rsid w:val="00E10BA1"/>
    <w:rsid w:val="00E40D6B"/>
    <w:rsid w:val="00E50D5C"/>
    <w:rsid w:val="00E53934"/>
    <w:rsid w:val="00E90F0B"/>
    <w:rsid w:val="00E93537"/>
    <w:rsid w:val="00E9482C"/>
    <w:rsid w:val="00EB3691"/>
    <w:rsid w:val="00EC0188"/>
    <w:rsid w:val="00EF2BB2"/>
    <w:rsid w:val="00F00C71"/>
    <w:rsid w:val="00F05C8F"/>
    <w:rsid w:val="00F05F14"/>
    <w:rsid w:val="00F14F3D"/>
    <w:rsid w:val="00F1615A"/>
    <w:rsid w:val="00F47294"/>
    <w:rsid w:val="00F62320"/>
    <w:rsid w:val="00FB5802"/>
    <w:rsid w:val="00FB59D0"/>
    <w:rsid w:val="00FC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F8CB3"/>
  <w15:docId w15:val="{64782639-AD66-4220-8678-9B2E3D18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737F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uiPriority w:val="9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uiPriority w:val="9"/>
    <w:unhideWhenUsed/>
    <w:qFormat/>
    <w:rsid w:val="008A56D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rsid w:val="008A56D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rsid w:val="008A56D9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8A56D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8A56D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sid w:val="006920BB"/>
    <w:pPr>
      <w:jc w:val="center"/>
    </w:pPr>
    <w:rPr>
      <w:b/>
      <w:i/>
      <w:sz w:val="20"/>
      <w:szCs w:val="20"/>
    </w:rPr>
  </w:style>
  <w:style w:type="table" w:customStyle="1" w:styleId="TableNormal0">
    <w:name w:val="Table Normal"/>
    <w:rsid w:val="008A56D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8A56D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1B5FBE"/>
    <w:rPr>
      <w:rFonts w:cs="Courier New"/>
    </w:rPr>
  </w:style>
  <w:style w:type="paragraph" w:customStyle="1" w:styleId="Heading">
    <w:name w:val="Heading"/>
    <w:basedOn w:val="Normal"/>
    <w:next w:val="TextBody"/>
    <w:qFormat/>
    <w:rsid w:val="001B5FBE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1B5FB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1B5FBE"/>
    <w:pPr>
      <w:suppressLineNumbers/>
    </w:pPr>
  </w:style>
  <w:style w:type="paragraph" w:customStyle="1" w:styleId="Ttulo40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021202"/>
    <w:pPr>
      <w:suppressAutoHyphens w:val="0"/>
      <w:spacing w:line="360" w:lineRule="auto"/>
      <w:jc w:val="both"/>
    </w:pPr>
    <w:rPr>
      <w:color w:val="auto"/>
      <w:sz w:val="2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21202"/>
    <w:rPr>
      <w:sz w:val="28"/>
      <w:szCs w:val="24"/>
    </w:rPr>
  </w:style>
  <w:style w:type="table" w:customStyle="1" w:styleId="a">
    <w:basedOn w:val="TableNormal1"/>
    <w:rsid w:val="008A56D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rsid w:val="008A56D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elacomgrade">
    <w:name w:val="Table Grid"/>
    <w:basedOn w:val="Tabelanormal"/>
    <w:uiPriority w:val="39"/>
    <w:rsid w:val="00C96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1">
    <w:name w:val="Cabeçalho1"/>
    <w:basedOn w:val="Normal"/>
    <w:rsid w:val="00CD7C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D7C98"/>
    <w:rPr>
      <w:lang w:eastAsia="ar-SA"/>
    </w:rPr>
  </w:style>
  <w:style w:type="character" w:customStyle="1" w:styleId="wpaicg-chat-message">
    <w:name w:val="wpaicg-chat-message"/>
    <w:basedOn w:val="Fontepargpadro"/>
    <w:rsid w:val="00801C33"/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bI/tHDkbA+7QFYTgxPFHSfw4Lw==">CgMxLjAyDmguNmR0dzgyaWU3dnhkMghoLmdqZGd4czIJaC4zMGowemxsOAByITE4SUlVUTRBTko2WFhzTWRwRkVPNGgzTFlrNXFKLXIwTg==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2042</Words>
  <Characters>11029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renatinho</dc:creator>
  <cp:lastModifiedBy>HENRIQUE LEVY</cp:lastModifiedBy>
  <cp:revision>26</cp:revision>
  <cp:lastPrinted>2026-05-05T18:14:00Z</cp:lastPrinted>
  <dcterms:created xsi:type="dcterms:W3CDTF">2025-11-10T17:27:00Z</dcterms:created>
  <dcterms:modified xsi:type="dcterms:W3CDTF">2026-05-05T18:20:00Z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