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455A21FB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8072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36831D01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Projeto </w:t>
            </w:r>
            <w:proofErr w:type="gramStart"/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de </w:t>
            </w:r>
            <w:r w:rsidR="00EA332D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lei </w:t>
            </w: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.º</w:t>
            </w:r>
            <w:proofErr w:type="gramEnd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3412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</w:t>
            </w:r>
            <w:r w:rsidR="006B5E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  <w:p w14:paraId="15FD5A90" w14:textId="0A7C093B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RODRIGO NEVES – PREFEI</w:t>
            </w:r>
            <w:r w:rsidR="00D40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ACF48FB" w14:textId="7687C13E" w:rsidR="000224A9" w:rsidRPr="00807251" w:rsidRDefault="009C390B" w:rsidP="00807251">
            <w:pPr>
              <w:jc w:val="both"/>
              <w:rPr>
                <w:rStyle w:val="NenhumA"/>
                <w:rFonts w:ascii="Ebrima" w:hAnsi="Ebrima" w:cs="Arial"/>
                <w:color w:val="000000"/>
                <w:sz w:val="22"/>
                <w:szCs w:val="22"/>
                <w:lang w:val="pt-BR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6B5E66" w:rsidRPr="006B5E66">
              <w:rPr>
                <w:rFonts w:asciiTheme="minorHAnsi" w:hAnsiTheme="minorHAnsi" w:cstheme="minorHAnsi"/>
                <w:b/>
                <w:bCs/>
                <w:smallCaps/>
              </w:rPr>
              <w:t>Altera dispositivos da Lei Municipal nº 4.063, de 24 de outubro de 2025, que dispõe sobre o incentivo financeiro ao Carnaval da cidade de Niterói, com o objetivo de aprimorar os critérios de concessão de subvenções públicas, adequar a estrutura normativa às dinâmicas atuais das agremiações carnavalescas.</w:t>
            </w:r>
            <w:r w:rsidR="00807251">
              <w:rPr>
                <w:rFonts w:ascii="Ebrima" w:hAnsi="Ebrima" w:cs="Arial"/>
                <w:color w:val="000000"/>
                <w:sz w:val="22"/>
                <w:szCs w:val="22"/>
              </w:rPr>
              <w:t>”</w:t>
            </w:r>
          </w:p>
          <w:p w14:paraId="6FEFA727" w14:textId="6D02ADB7" w:rsidR="00CE2EE4" w:rsidRPr="009C390B" w:rsidRDefault="00CE2EE4" w:rsidP="000224A9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69175032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Trata-se de Projeto de Lei encaminhado pelo Chefe do Poder Executivo Municipal, por meio da Mensagem Executiva nº 08/2026, que propõe a alteração de dispositivos da Lei Municipal nº 4.063/2025, a qual dispõe sobre o incentivo financeiro ao Carnaval da cidade de Niterói.</w:t>
      </w:r>
    </w:p>
    <w:p w14:paraId="3E6C8680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A proposição visa, em síntese:</w:t>
      </w:r>
    </w:p>
    <w:p w14:paraId="6470AB66" w14:textId="77777777" w:rsidR="006B5E66" w:rsidRPr="006B5E66" w:rsidRDefault="006B5E66" w:rsidP="006B5E66">
      <w:pPr>
        <w:pStyle w:val="Corpodetexto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Atualizar os critérios de concessão de subvenções públicas às agremiações carnavalescas; </w:t>
      </w:r>
    </w:p>
    <w:p w14:paraId="516C4C28" w14:textId="77777777" w:rsidR="006B5E66" w:rsidRPr="006B5E66" w:rsidRDefault="006B5E66" w:rsidP="006B5E66">
      <w:pPr>
        <w:pStyle w:val="Corpodetexto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Reestruturar dispositivos normativos relativos à organização dos desfiles; </w:t>
      </w:r>
    </w:p>
    <w:p w14:paraId="42B28E25" w14:textId="77777777" w:rsidR="006B5E66" w:rsidRPr="006B5E66" w:rsidRDefault="006B5E66" w:rsidP="006B5E66">
      <w:pPr>
        <w:pStyle w:val="Corpodetexto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Fixar novo valor de subvenção social às escolas de samba do Grupo Especial; </w:t>
      </w:r>
    </w:p>
    <w:p w14:paraId="570405B2" w14:textId="77777777" w:rsidR="006B5E66" w:rsidRPr="006B5E66" w:rsidRDefault="006B5E66" w:rsidP="006B5E66">
      <w:pPr>
        <w:pStyle w:val="Corpodetexto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Estabelecer diretrizes para execução, controle e prestação de contas dos recursos públicos.</w:t>
      </w:r>
    </w:p>
    <w:p w14:paraId="35F4C1D3" w14:textId="73C4B17F" w:rsidR="00BF420B" w:rsidRPr="00503E1C" w:rsidRDefault="00BF420B" w:rsidP="003B7B8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313047F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II – ANÁLISE</w:t>
      </w:r>
    </w:p>
    <w:p w14:paraId="5BA04A36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Compete a esta Comissão Permanente, nos termos do Regimento Interno da Câmara Municipal de Niterói, a análise dos aspectos 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financeiros, orçamentários e de controle</w:t>
      </w: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 das proposições em tramitação.</w:t>
      </w:r>
    </w:p>
    <w:p w14:paraId="2F4BDDCC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Nesse sentido, a matéria foi examinada à luz da legislação pertinente, notadamente:</w:t>
      </w:r>
    </w:p>
    <w:p w14:paraId="0C88AF55" w14:textId="77777777" w:rsidR="006B5E66" w:rsidRPr="006B5E66" w:rsidRDefault="006B5E66" w:rsidP="006B5E66">
      <w:pPr>
        <w:pStyle w:val="Corpodetexto"/>
        <w:numPr>
          <w:ilvl w:val="0"/>
          <w:numId w:val="4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Constituição Federal (</w:t>
      </w:r>
      <w:proofErr w:type="spellStart"/>
      <w:r w:rsidRPr="006B5E66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. 165 a 169); </w:t>
      </w:r>
    </w:p>
    <w:p w14:paraId="72BB09A5" w14:textId="77777777" w:rsidR="006B5E66" w:rsidRPr="006B5E66" w:rsidRDefault="006B5E66" w:rsidP="006B5E66">
      <w:pPr>
        <w:pStyle w:val="Corpodetexto"/>
        <w:numPr>
          <w:ilvl w:val="0"/>
          <w:numId w:val="4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Lei Complementar nº 101/2000 (Lei de Responsabilidade Fiscal – LRF); </w:t>
      </w:r>
    </w:p>
    <w:p w14:paraId="0C6E00DF" w14:textId="77777777" w:rsidR="006B5E66" w:rsidRPr="006B5E66" w:rsidRDefault="006B5E66" w:rsidP="006B5E66">
      <w:pPr>
        <w:pStyle w:val="Corpodetexto"/>
        <w:numPr>
          <w:ilvl w:val="0"/>
          <w:numId w:val="4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Normas gerais de direito financeiro (Lei nº 4.320/1964); </w:t>
      </w:r>
    </w:p>
    <w:p w14:paraId="73241D49" w14:textId="77777777" w:rsidR="006B5E66" w:rsidRPr="006B5E66" w:rsidRDefault="006B5E66" w:rsidP="006B5E66">
      <w:pPr>
        <w:pStyle w:val="Corpodetexto"/>
        <w:numPr>
          <w:ilvl w:val="0"/>
          <w:numId w:val="4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Jurisprudência dos Tribunais de Contas. </w:t>
      </w:r>
    </w:p>
    <w:p w14:paraId="4B847527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2.1 – Adequação Orçamentária e Financeira</w:t>
      </w:r>
    </w:p>
    <w:p w14:paraId="338F27EB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O projeto encontra-se acompanhado de estimativa de impacto orçamentário-financeiro, atendendo ao disposto nos </w:t>
      </w:r>
      <w:proofErr w:type="spellStart"/>
      <w:r w:rsidRPr="006B5E66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6B5E66">
        <w:rPr>
          <w:rFonts w:asciiTheme="minorHAnsi" w:hAnsiTheme="minorHAnsi" w:cstheme="minorHAnsi"/>
          <w:color w:val="000000"/>
          <w:sz w:val="22"/>
          <w:szCs w:val="22"/>
        </w:rPr>
        <w:t>. 16 e 17 da Lei de Responsabilidade Fiscal.</w:t>
      </w:r>
    </w:p>
    <w:p w14:paraId="15FB388B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O impacto apresentado demonstra:</w:t>
      </w:r>
    </w:p>
    <w:p w14:paraId="61B4DBA0" w14:textId="77777777" w:rsidR="006B5E66" w:rsidRPr="006B5E66" w:rsidRDefault="006B5E66" w:rsidP="006B5E66">
      <w:pPr>
        <w:pStyle w:val="Corpodetexto"/>
        <w:numPr>
          <w:ilvl w:val="0"/>
          <w:numId w:val="4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Compatibilidade com as metas fiscais; </w:t>
      </w:r>
    </w:p>
    <w:p w14:paraId="725A6CA1" w14:textId="77777777" w:rsidR="006B5E66" w:rsidRPr="006B5E66" w:rsidRDefault="006B5E66" w:rsidP="006B5E66">
      <w:pPr>
        <w:pStyle w:val="Corpodetexto"/>
        <w:numPr>
          <w:ilvl w:val="0"/>
          <w:numId w:val="4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Previsão de atualização monetária baseada em índice oficial (IPCA); </w:t>
      </w:r>
    </w:p>
    <w:p w14:paraId="12063EB9" w14:textId="77777777" w:rsidR="006B5E66" w:rsidRPr="006B5E66" w:rsidRDefault="006B5E66" w:rsidP="006B5E66">
      <w:pPr>
        <w:pStyle w:val="Corpodetexto"/>
        <w:numPr>
          <w:ilvl w:val="0"/>
          <w:numId w:val="4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Identificação clara do acréscimo de despesa para o exercício de 2027. </w:t>
      </w:r>
    </w:p>
    <w:p w14:paraId="14A0F7C8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Ademais, a despesa possui natureza discricionária e está vinculada à política pública de incentivo à cultura, sendo passível de previsão nas leis orçamentárias anuais e compatível com o Plano Plurianual (PPA) e a Lei de Diretrizes Orçamentárias (LDO).</w:t>
      </w:r>
    </w:p>
    <w:p w14:paraId="7E4E6C73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2.2 – Compatibilidade com a Lei de Responsabilidade Fiscal</w:t>
      </w:r>
    </w:p>
    <w:p w14:paraId="21A36BD8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A proposição observa os requisitos da LRF, especialmente:</w:t>
      </w:r>
    </w:p>
    <w:p w14:paraId="156CFEE2" w14:textId="77777777" w:rsidR="006B5E66" w:rsidRPr="006B5E66" w:rsidRDefault="006B5E66" w:rsidP="006B5E66">
      <w:pPr>
        <w:pStyle w:val="Corpodetexto"/>
        <w:numPr>
          <w:ilvl w:val="0"/>
          <w:numId w:val="4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Estimativa prévia do impacto orçamentário; </w:t>
      </w:r>
    </w:p>
    <w:p w14:paraId="117AED89" w14:textId="77777777" w:rsidR="006B5E66" w:rsidRPr="006B5E66" w:rsidRDefault="006B5E66" w:rsidP="006B5E66">
      <w:pPr>
        <w:pStyle w:val="Corpodetexto"/>
        <w:numPr>
          <w:ilvl w:val="0"/>
          <w:numId w:val="4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Indicação de que a despesa será suportada por dotação orçamentária própria; </w:t>
      </w:r>
    </w:p>
    <w:p w14:paraId="33F7548C" w14:textId="77777777" w:rsidR="006B5E66" w:rsidRPr="006B5E66" w:rsidRDefault="006B5E66" w:rsidP="006B5E66">
      <w:pPr>
        <w:pStyle w:val="Corpodetexto"/>
        <w:numPr>
          <w:ilvl w:val="0"/>
          <w:numId w:val="4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Possibilidade de adequação à disponibilidade financeira do Município. </w:t>
      </w:r>
    </w:p>
    <w:p w14:paraId="3273460B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Não se verifica criação de despesa obrigatória de caráter continuado sem a devida compensação, uma vez que o projeto admite ajuste conforme disponibilidade orçamentária e regulamentação do Poder Executivo.</w:t>
      </w:r>
    </w:p>
    <w:p w14:paraId="0B52DCE8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2.3 – Economicidade e Interesse Público</w:t>
      </w:r>
    </w:p>
    <w:p w14:paraId="04F159A5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O incentivo ao Carnaval apresenta relevante impacto econômico, cultural e turístico, conforme destacado na Mensagem </w:t>
      </w:r>
      <w:proofErr w:type="gramStart"/>
      <w:r w:rsidRPr="006B5E66">
        <w:rPr>
          <w:rFonts w:asciiTheme="minorHAnsi" w:hAnsiTheme="minorHAnsi" w:cstheme="minorHAnsi"/>
          <w:color w:val="000000"/>
          <w:sz w:val="22"/>
          <w:szCs w:val="22"/>
        </w:rPr>
        <w:t>Executiva ,</w:t>
      </w:r>
      <w:proofErr w:type="gramEnd"/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 promovendo:</w:t>
      </w:r>
    </w:p>
    <w:p w14:paraId="3A08CC9C" w14:textId="77777777" w:rsidR="006B5E66" w:rsidRPr="006B5E66" w:rsidRDefault="006B5E66" w:rsidP="006B5E66">
      <w:pPr>
        <w:pStyle w:val="Corpodetexto"/>
        <w:numPr>
          <w:ilvl w:val="0"/>
          <w:numId w:val="4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Geração de emprego e renda; </w:t>
      </w:r>
    </w:p>
    <w:p w14:paraId="7E9E42F3" w14:textId="77777777" w:rsidR="006B5E66" w:rsidRPr="006B5E66" w:rsidRDefault="006B5E66" w:rsidP="006B5E66">
      <w:pPr>
        <w:pStyle w:val="Corpodetexto"/>
        <w:numPr>
          <w:ilvl w:val="0"/>
          <w:numId w:val="4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Fomento à economia criativa; </w:t>
      </w:r>
    </w:p>
    <w:p w14:paraId="187B7305" w14:textId="77777777" w:rsidR="006B5E66" w:rsidRPr="006B5E66" w:rsidRDefault="006B5E66" w:rsidP="006B5E66">
      <w:pPr>
        <w:pStyle w:val="Corpodetexto"/>
        <w:numPr>
          <w:ilvl w:val="0"/>
          <w:numId w:val="4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Fortalecimento da identidade cultural do Município. </w:t>
      </w:r>
    </w:p>
    <w:p w14:paraId="52F83B57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A medida, portanto, encontra respaldo no princípio da 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finalidade pública</w:t>
      </w: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, bem como nos princípios da 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eficiência e economicidade</w:t>
      </w:r>
      <w:r w:rsidRPr="006B5E66">
        <w:rPr>
          <w:rFonts w:asciiTheme="minorHAnsi" w:hAnsiTheme="minorHAnsi" w:cstheme="minorHAnsi"/>
          <w:color w:val="000000"/>
          <w:sz w:val="22"/>
          <w:szCs w:val="22"/>
        </w:rPr>
        <w:t>, ao estimular cadeia produtiva relevante para o desenvolvimento local.</w:t>
      </w:r>
    </w:p>
    <w:p w14:paraId="18095F1C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2.4 – Controle e Transparência</w:t>
      </w:r>
    </w:p>
    <w:p w14:paraId="3A927B3B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O projeto mantém e reforça mecanismos de controle, ao:</w:t>
      </w:r>
    </w:p>
    <w:p w14:paraId="208E59E8" w14:textId="77777777" w:rsidR="006B5E66" w:rsidRPr="006B5E66" w:rsidRDefault="006B5E66" w:rsidP="006B5E66">
      <w:pPr>
        <w:pStyle w:val="Corpodetexto"/>
        <w:numPr>
          <w:ilvl w:val="0"/>
          <w:numId w:val="4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Exigir prestação de contas; </w:t>
      </w:r>
    </w:p>
    <w:p w14:paraId="101BDA19" w14:textId="77777777" w:rsidR="006B5E66" w:rsidRPr="006B5E66" w:rsidRDefault="006B5E66" w:rsidP="006B5E66">
      <w:pPr>
        <w:pStyle w:val="Corpodetexto"/>
        <w:numPr>
          <w:ilvl w:val="0"/>
          <w:numId w:val="4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Estabelecer vedações expressas de uso indevido dos recursos; </w:t>
      </w:r>
    </w:p>
    <w:p w14:paraId="178AA922" w14:textId="77777777" w:rsidR="006B5E66" w:rsidRPr="006B5E66" w:rsidRDefault="006B5E66" w:rsidP="006B5E66">
      <w:pPr>
        <w:pStyle w:val="Corpodetexto"/>
        <w:numPr>
          <w:ilvl w:val="0"/>
          <w:numId w:val="4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Submeter a execução às normas da legislação municipal vigente. </w:t>
      </w:r>
    </w:p>
    <w:p w14:paraId="3D872BBC" w14:textId="77777777" w:rsidR="006B5E66" w:rsidRPr="006B5E66" w:rsidRDefault="006B5E66" w:rsidP="006B5E6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>Tais dispositivos estão em consonância com as boas práticas de governança pública e com as orientações dos Tribunais de Contas.</w:t>
      </w:r>
    </w:p>
    <w:p w14:paraId="6C870AEA" w14:textId="5BDA4441" w:rsidR="006B1C02" w:rsidRPr="00503E1C" w:rsidRDefault="006B1C0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EA64DD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0F958DC2" w14:textId="77777777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Diante do exposto, no âmbito das competências desta Comissão Permanente de Fiscalização Financeira, Controle e Orçamento, 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não se verificam óbices de natureza orçamentária, financeira ou fiscal</w:t>
      </w: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 à tramitação da matéria.</w:t>
      </w:r>
    </w:p>
    <w:p w14:paraId="776C15F4" w14:textId="77777777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O Projeto de Lei apresenta-se 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adequado às normas da Lei de Responsabilidade Fiscal</w:t>
      </w:r>
      <w:r w:rsidRPr="006B5E66">
        <w:rPr>
          <w:rFonts w:asciiTheme="minorHAnsi" w:hAnsiTheme="minorHAnsi" w:cstheme="minorHAnsi"/>
          <w:color w:val="000000"/>
          <w:sz w:val="22"/>
          <w:szCs w:val="22"/>
        </w:rPr>
        <w:t>, compatível com os instrumentos de planejamento e revestido de relevante interesse público.</w:t>
      </w:r>
    </w:p>
    <w:p w14:paraId="7AA7DBA6" w14:textId="20306BFF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VOTO, portanto, PELA APROVAÇÃO do Projeto de Lei nº </w:t>
      </w:r>
      <w:r w:rsidR="00643EF6">
        <w:rPr>
          <w:rFonts w:asciiTheme="minorHAnsi" w:hAnsiTheme="minorHAnsi" w:cstheme="minorHAnsi"/>
          <w:b/>
          <w:bCs/>
          <w:color w:val="000000"/>
          <w:sz w:val="22"/>
          <w:szCs w:val="22"/>
        </w:rPr>
        <w:t>0137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/2026.</w:t>
      </w:r>
    </w:p>
    <w:p w14:paraId="35AE0AA2" w14:textId="3B1099FD" w:rsidR="006B5E66" w:rsidRPr="006B5E66" w:rsidRDefault="006B5E66" w:rsidP="006B5E66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CONCLUSÃO</w:t>
      </w:r>
    </w:p>
    <w:p w14:paraId="70DABF04" w14:textId="77777777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A Comissão Permanente de Fiscalização Financeira, Controle e Orçamento, por seus membros, acompanha o voto do Relator, manifestando-se 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FAVORAVELMENTE</w:t>
      </w:r>
      <w:r w:rsidRPr="006B5E66">
        <w:rPr>
          <w:rFonts w:asciiTheme="minorHAnsi" w:hAnsiTheme="minorHAnsi" w:cstheme="minorHAnsi"/>
          <w:color w:val="000000"/>
          <w:sz w:val="22"/>
          <w:szCs w:val="22"/>
        </w:rPr>
        <w:t xml:space="preserve"> à aprovação da matéria.</w:t>
      </w:r>
    </w:p>
    <w:p w14:paraId="5E7FE129" w14:textId="1C3FA274" w:rsidR="00126B24" w:rsidRPr="00503E1C" w:rsidRDefault="00126B24" w:rsidP="00341232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69"/>
        <w:gridCol w:w="3010"/>
        <w:gridCol w:w="2526"/>
      </w:tblGrid>
      <w:tr w:rsidR="00126B24" w:rsidRPr="00503E1C" w14:paraId="2AFF5441" w14:textId="26E55D77" w:rsidTr="00126B24">
        <w:trPr>
          <w:trHeight w:val="1286"/>
        </w:trPr>
        <w:tc>
          <w:tcPr>
            <w:tcW w:w="2969" w:type="dxa"/>
          </w:tcPr>
          <w:p w14:paraId="080FACA7" w14:textId="77777777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39B37C2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ANDERSON PIPICO</w:t>
            </w:r>
          </w:p>
          <w:p w14:paraId="4A1C49F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3010" w:type="dxa"/>
          </w:tcPr>
          <w:p w14:paraId="5EB4A7A4" w14:textId="77777777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4AEF43A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14C19DF5" w:rsidR="00126B24" w:rsidRPr="00503E1C" w:rsidRDefault="00807251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FABIANO GONÇALVES </w:t>
            </w:r>
          </w:p>
          <w:p w14:paraId="5DEDE58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483F68B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26B24" w:rsidRPr="00503E1C" w14:paraId="34DD2899" w14:textId="43A0D6B9" w:rsidTr="00126B24">
        <w:tc>
          <w:tcPr>
            <w:tcW w:w="2969" w:type="dxa"/>
          </w:tcPr>
          <w:p w14:paraId="20500F77" w14:textId="5FF3B459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35AEAE6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RODRIGO FARAH</w:t>
            </w:r>
          </w:p>
          <w:p w14:paraId="0E1A446D" w14:textId="337334F8" w:rsidR="00126B24" w:rsidRPr="00341232" w:rsidRDefault="00126B24" w:rsidP="0034123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3010" w:type="dxa"/>
          </w:tcPr>
          <w:p w14:paraId="20BFC95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090051B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  <w:r w:rsidR="00341232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 xml:space="preserve">  </w:t>
            </w:r>
          </w:p>
          <w:p w14:paraId="303FDDDD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C5A516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126B24" w:rsidRPr="00503E1C" w14:paraId="662F2BB8" w14:textId="7FF26A62" w:rsidTr="00126B24">
        <w:trPr>
          <w:trHeight w:val="80"/>
        </w:trPr>
        <w:tc>
          <w:tcPr>
            <w:tcW w:w="5979" w:type="dxa"/>
            <w:gridSpan w:val="2"/>
          </w:tcPr>
          <w:p w14:paraId="236B3A2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2526" w:type="dxa"/>
          </w:tcPr>
          <w:p w14:paraId="11E81CC1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</w:tbl>
    <w:p w14:paraId="3AAD2F20" w14:textId="77777777" w:rsidR="006A1F93" w:rsidRPr="00503E1C" w:rsidRDefault="006A1F93" w:rsidP="00146A4C">
      <w:pPr>
        <w:pStyle w:val="Corpodetex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FBFA1" w14:textId="77777777" w:rsidR="00A56ACE" w:rsidRDefault="00A56ACE">
      <w:r>
        <w:separator/>
      </w:r>
    </w:p>
  </w:endnote>
  <w:endnote w:type="continuationSeparator" w:id="0">
    <w:p w14:paraId="3FE12A22" w14:textId="77777777" w:rsidR="00A56ACE" w:rsidRDefault="00A56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313AF" w14:textId="77777777" w:rsidR="00A56ACE" w:rsidRDefault="00A56ACE">
      <w:r>
        <w:separator/>
      </w:r>
    </w:p>
  </w:footnote>
  <w:footnote w:type="continuationSeparator" w:id="0">
    <w:p w14:paraId="1A377BD6" w14:textId="77777777" w:rsidR="00A56ACE" w:rsidRDefault="00A56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723D"/>
    <w:multiLevelType w:val="multilevel"/>
    <w:tmpl w:val="E16A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E3176"/>
    <w:multiLevelType w:val="multilevel"/>
    <w:tmpl w:val="8B74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861CA9"/>
    <w:multiLevelType w:val="multilevel"/>
    <w:tmpl w:val="7F1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D2A67"/>
    <w:multiLevelType w:val="multilevel"/>
    <w:tmpl w:val="D0E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E78E7"/>
    <w:multiLevelType w:val="multilevel"/>
    <w:tmpl w:val="FB64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5515E9"/>
    <w:multiLevelType w:val="multilevel"/>
    <w:tmpl w:val="9B7E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8637C0"/>
    <w:multiLevelType w:val="hybridMultilevel"/>
    <w:tmpl w:val="908AA2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C766A6"/>
    <w:multiLevelType w:val="multilevel"/>
    <w:tmpl w:val="970E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DD7903"/>
    <w:multiLevelType w:val="multilevel"/>
    <w:tmpl w:val="8EE66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5F0F83"/>
    <w:multiLevelType w:val="multilevel"/>
    <w:tmpl w:val="8220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905256"/>
    <w:multiLevelType w:val="multilevel"/>
    <w:tmpl w:val="0304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223C38"/>
    <w:multiLevelType w:val="multilevel"/>
    <w:tmpl w:val="E3A4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26198B"/>
    <w:multiLevelType w:val="multilevel"/>
    <w:tmpl w:val="635E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CB3D29"/>
    <w:multiLevelType w:val="multilevel"/>
    <w:tmpl w:val="0220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D27FB2"/>
    <w:multiLevelType w:val="multilevel"/>
    <w:tmpl w:val="691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2274D2"/>
    <w:multiLevelType w:val="multilevel"/>
    <w:tmpl w:val="CD9E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3375FA"/>
    <w:multiLevelType w:val="multilevel"/>
    <w:tmpl w:val="ACBC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701ABF"/>
    <w:multiLevelType w:val="hybridMultilevel"/>
    <w:tmpl w:val="B338E9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53BF5"/>
    <w:multiLevelType w:val="multilevel"/>
    <w:tmpl w:val="B154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434C3E"/>
    <w:multiLevelType w:val="multilevel"/>
    <w:tmpl w:val="35FE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CE480D"/>
    <w:multiLevelType w:val="multilevel"/>
    <w:tmpl w:val="CF6E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B16255"/>
    <w:multiLevelType w:val="hybridMultilevel"/>
    <w:tmpl w:val="E48A1D18"/>
    <w:lvl w:ilvl="0" w:tplc="8A904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F51460B"/>
    <w:multiLevelType w:val="multilevel"/>
    <w:tmpl w:val="9AB6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530513"/>
    <w:multiLevelType w:val="multilevel"/>
    <w:tmpl w:val="A050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1E7FCC"/>
    <w:multiLevelType w:val="multilevel"/>
    <w:tmpl w:val="38BC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192A0D"/>
    <w:multiLevelType w:val="multilevel"/>
    <w:tmpl w:val="C1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CC6A45"/>
    <w:multiLevelType w:val="multilevel"/>
    <w:tmpl w:val="40FA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801509"/>
    <w:multiLevelType w:val="multilevel"/>
    <w:tmpl w:val="5A8C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54067A"/>
    <w:multiLevelType w:val="multilevel"/>
    <w:tmpl w:val="4B0E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7F1632"/>
    <w:multiLevelType w:val="multilevel"/>
    <w:tmpl w:val="62C4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7A2609"/>
    <w:multiLevelType w:val="multilevel"/>
    <w:tmpl w:val="B104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DA5667"/>
    <w:multiLevelType w:val="multilevel"/>
    <w:tmpl w:val="DDE8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46761A"/>
    <w:multiLevelType w:val="multilevel"/>
    <w:tmpl w:val="2B0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82183B"/>
    <w:multiLevelType w:val="multilevel"/>
    <w:tmpl w:val="6CB4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F70FE1"/>
    <w:multiLevelType w:val="multilevel"/>
    <w:tmpl w:val="98F2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5E02F1"/>
    <w:multiLevelType w:val="multilevel"/>
    <w:tmpl w:val="F9AC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66369E"/>
    <w:multiLevelType w:val="multilevel"/>
    <w:tmpl w:val="2220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825EC2"/>
    <w:multiLevelType w:val="hybridMultilevel"/>
    <w:tmpl w:val="586238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42" w15:restartNumberingAfterBreak="0">
    <w:nsid w:val="76CB2E10"/>
    <w:multiLevelType w:val="multilevel"/>
    <w:tmpl w:val="B32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5627C2"/>
    <w:multiLevelType w:val="multilevel"/>
    <w:tmpl w:val="0EBA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894D00"/>
    <w:multiLevelType w:val="multilevel"/>
    <w:tmpl w:val="66DE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116121">
    <w:abstractNumId w:val="41"/>
    <w:lvlOverride w:ilvl="0">
      <w:startOverride w:val="1"/>
    </w:lvlOverride>
  </w:num>
  <w:num w:numId="2" w16cid:durableId="1954818871">
    <w:abstractNumId w:val="16"/>
  </w:num>
  <w:num w:numId="3" w16cid:durableId="1168128929">
    <w:abstractNumId w:val="1"/>
  </w:num>
  <w:num w:numId="4" w16cid:durableId="6757552">
    <w:abstractNumId w:val="14"/>
  </w:num>
  <w:num w:numId="5" w16cid:durableId="868646899">
    <w:abstractNumId w:val="28"/>
  </w:num>
  <w:num w:numId="6" w16cid:durableId="932317578">
    <w:abstractNumId w:val="34"/>
  </w:num>
  <w:num w:numId="7" w16cid:durableId="1335571030">
    <w:abstractNumId w:val="11"/>
  </w:num>
  <w:num w:numId="8" w16cid:durableId="2034384524">
    <w:abstractNumId w:val="33"/>
  </w:num>
  <w:num w:numId="9" w16cid:durableId="1894193981">
    <w:abstractNumId w:val="26"/>
  </w:num>
  <w:num w:numId="10" w16cid:durableId="1874343805">
    <w:abstractNumId w:val="15"/>
  </w:num>
  <w:num w:numId="11" w16cid:durableId="1594242660">
    <w:abstractNumId w:val="10"/>
  </w:num>
  <w:num w:numId="12" w16cid:durableId="339624392">
    <w:abstractNumId w:val="37"/>
  </w:num>
  <w:num w:numId="13" w16cid:durableId="1555462161">
    <w:abstractNumId w:val="29"/>
  </w:num>
  <w:num w:numId="14" w16cid:durableId="1129545389">
    <w:abstractNumId w:val="43"/>
  </w:num>
  <w:num w:numId="15" w16cid:durableId="623579353">
    <w:abstractNumId w:val="4"/>
  </w:num>
  <w:num w:numId="16" w16cid:durableId="1188913397">
    <w:abstractNumId w:val="3"/>
  </w:num>
  <w:num w:numId="17" w16cid:durableId="434835096">
    <w:abstractNumId w:val="30"/>
  </w:num>
  <w:num w:numId="18" w16cid:durableId="756555755">
    <w:abstractNumId w:val="8"/>
  </w:num>
  <w:num w:numId="19" w16cid:durableId="1197281664">
    <w:abstractNumId w:val="17"/>
  </w:num>
  <w:num w:numId="20" w16cid:durableId="1353801066">
    <w:abstractNumId w:val="23"/>
  </w:num>
  <w:num w:numId="21" w16cid:durableId="1551570257">
    <w:abstractNumId w:val="38"/>
  </w:num>
  <w:num w:numId="22" w16cid:durableId="2020883648">
    <w:abstractNumId w:val="20"/>
  </w:num>
  <w:num w:numId="23" w16cid:durableId="1171529419">
    <w:abstractNumId w:val="9"/>
  </w:num>
  <w:num w:numId="24" w16cid:durableId="325673274">
    <w:abstractNumId w:val="40"/>
  </w:num>
  <w:num w:numId="25" w16cid:durableId="730884091">
    <w:abstractNumId w:val="24"/>
  </w:num>
  <w:num w:numId="26" w16cid:durableId="1874422839">
    <w:abstractNumId w:val="7"/>
  </w:num>
  <w:num w:numId="27" w16cid:durableId="17508081">
    <w:abstractNumId w:val="13"/>
  </w:num>
  <w:num w:numId="28" w16cid:durableId="1951207119">
    <w:abstractNumId w:val="18"/>
  </w:num>
  <w:num w:numId="29" w16cid:durableId="16081821">
    <w:abstractNumId w:val="42"/>
  </w:num>
  <w:num w:numId="30" w16cid:durableId="1766726380">
    <w:abstractNumId w:val="27"/>
  </w:num>
  <w:num w:numId="31" w16cid:durableId="1853567280">
    <w:abstractNumId w:val="39"/>
  </w:num>
  <w:num w:numId="32" w16cid:durableId="1193029359">
    <w:abstractNumId w:val="0"/>
  </w:num>
  <w:num w:numId="33" w16cid:durableId="1294947486">
    <w:abstractNumId w:val="2"/>
  </w:num>
  <w:num w:numId="34" w16cid:durableId="17508645">
    <w:abstractNumId w:val="36"/>
  </w:num>
  <w:num w:numId="35" w16cid:durableId="934748885">
    <w:abstractNumId w:val="35"/>
  </w:num>
  <w:num w:numId="36" w16cid:durableId="591397990">
    <w:abstractNumId w:val="6"/>
  </w:num>
  <w:num w:numId="37" w16cid:durableId="2023893592">
    <w:abstractNumId w:val="44"/>
  </w:num>
  <w:num w:numId="38" w16cid:durableId="1557430182">
    <w:abstractNumId w:val="12"/>
  </w:num>
  <w:num w:numId="39" w16cid:durableId="1552955290">
    <w:abstractNumId w:val="25"/>
  </w:num>
  <w:num w:numId="40" w16cid:durableId="423190977">
    <w:abstractNumId w:val="5"/>
  </w:num>
  <w:num w:numId="41" w16cid:durableId="1737971749">
    <w:abstractNumId w:val="21"/>
  </w:num>
  <w:num w:numId="42" w16cid:durableId="2105421184">
    <w:abstractNumId w:val="31"/>
  </w:num>
  <w:num w:numId="43" w16cid:durableId="1120294833">
    <w:abstractNumId w:val="22"/>
  </w:num>
  <w:num w:numId="44" w16cid:durableId="811796060">
    <w:abstractNumId w:val="32"/>
  </w:num>
  <w:num w:numId="45" w16cid:durableId="4399574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4DC"/>
    <w:rsid w:val="00117EBC"/>
    <w:rsid w:val="00121F07"/>
    <w:rsid w:val="0012534B"/>
    <w:rsid w:val="00126B24"/>
    <w:rsid w:val="001456DE"/>
    <w:rsid w:val="00146A4C"/>
    <w:rsid w:val="00177747"/>
    <w:rsid w:val="001B1A95"/>
    <w:rsid w:val="001C30B3"/>
    <w:rsid w:val="001C40E6"/>
    <w:rsid w:val="001E4E80"/>
    <w:rsid w:val="001F16A8"/>
    <w:rsid w:val="001F5478"/>
    <w:rsid w:val="00206319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189D"/>
    <w:rsid w:val="002D29C2"/>
    <w:rsid w:val="002E1FF3"/>
    <w:rsid w:val="002F76B3"/>
    <w:rsid w:val="00305FE2"/>
    <w:rsid w:val="00307081"/>
    <w:rsid w:val="00310DF8"/>
    <w:rsid w:val="0032114E"/>
    <w:rsid w:val="00331420"/>
    <w:rsid w:val="00335C7B"/>
    <w:rsid w:val="00336369"/>
    <w:rsid w:val="00337545"/>
    <w:rsid w:val="00341232"/>
    <w:rsid w:val="00342833"/>
    <w:rsid w:val="003577C6"/>
    <w:rsid w:val="003702BD"/>
    <w:rsid w:val="00373E7B"/>
    <w:rsid w:val="003752BC"/>
    <w:rsid w:val="00377FF1"/>
    <w:rsid w:val="003A1BB6"/>
    <w:rsid w:val="003A3C34"/>
    <w:rsid w:val="003B7B82"/>
    <w:rsid w:val="003D68C7"/>
    <w:rsid w:val="003D79E2"/>
    <w:rsid w:val="003F0051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7581F"/>
    <w:rsid w:val="00577F50"/>
    <w:rsid w:val="00590970"/>
    <w:rsid w:val="0059651F"/>
    <w:rsid w:val="005B4505"/>
    <w:rsid w:val="005E56F1"/>
    <w:rsid w:val="005E7765"/>
    <w:rsid w:val="005F77C3"/>
    <w:rsid w:val="00623E13"/>
    <w:rsid w:val="006348E3"/>
    <w:rsid w:val="00643EF6"/>
    <w:rsid w:val="006518C5"/>
    <w:rsid w:val="00661F2F"/>
    <w:rsid w:val="00670ED9"/>
    <w:rsid w:val="006A1F93"/>
    <w:rsid w:val="006A6B5A"/>
    <w:rsid w:val="006B1C02"/>
    <w:rsid w:val="006B5E66"/>
    <w:rsid w:val="006D34F7"/>
    <w:rsid w:val="006D6FE0"/>
    <w:rsid w:val="006D7ECE"/>
    <w:rsid w:val="006E50AB"/>
    <w:rsid w:val="006F6FD2"/>
    <w:rsid w:val="007029BC"/>
    <w:rsid w:val="007030E6"/>
    <w:rsid w:val="00731EC3"/>
    <w:rsid w:val="0073430C"/>
    <w:rsid w:val="0073777F"/>
    <w:rsid w:val="00754E5E"/>
    <w:rsid w:val="007607B5"/>
    <w:rsid w:val="007727F5"/>
    <w:rsid w:val="007B0BC5"/>
    <w:rsid w:val="007C0514"/>
    <w:rsid w:val="007C565E"/>
    <w:rsid w:val="007E5542"/>
    <w:rsid w:val="007F186B"/>
    <w:rsid w:val="007F5507"/>
    <w:rsid w:val="00806BD1"/>
    <w:rsid w:val="00807251"/>
    <w:rsid w:val="00814086"/>
    <w:rsid w:val="00821986"/>
    <w:rsid w:val="008234EB"/>
    <w:rsid w:val="008239C3"/>
    <w:rsid w:val="00837062"/>
    <w:rsid w:val="008434CF"/>
    <w:rsid w:val="00843E4A"/>
    <w:rsid w:val="00854042"/>
    <w:rsid w:val="00860020"/>
    <w:rsid w:val="008878C4"/>
    <w:rsid w:val="00897BA7"/>
    <w:rsid w:val="008A6F05"/>
    <w:rsid w:val="008B1758"/>
    <w:rsid w:val="008C5E89"/>
    <w:rsid w:val="008D3A9E"/>
    <w:rsid w:val="008E449F"/>
    <w:rsid w:val="008F288A"/>
    <w:rsid w:val="0090020B"/>
    <w:rsid w:val="00907A26"/>
    <w:rsid w:val="009236FD"/>
    <w:rsid w:val="0095560F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D71B8"/>
    <w:rsid w:val="009E1547"/>
    <w:rsid w:val="009E2B8E"/>
    <w:rsid w:val="00A06B68"/>
    <w:rsid w:val="00A1233B"/>
    <w:rsid w:val="00A20737"/>
    <w:rsid w:val="00A211E6"/>
    <w:rsid w:val="00A26BDB"/>
    <w:rsid w:val="00A30773"/>
    <w:rsid w:val="00A31328"/>
    <w:rsid w:val="00A37170"/>
    <w:rsid w:val="00A45BEF"/>
    <w:rsid w:val="00A51F1E"/>
    <w:rsid w:val="00A56ACE"/>
    <w:rsid w:val="00A620C9"/>
    <w:rsid w:val="00A8581A"/>
    <w:rsid w:val="00A87AD6"/>
    <w:rsid w:val="00A90CAD"/>
    <w:rsid w:val="00A97BB4"/>
    <w:rsid w:val="00AA5EF4"/>
    <w:rsid w:val="00AC4FE4"/>
    <w:rsid w:val="00B01240"/>
    <w:rsid w:val="00B04E62"/>
    <w:rsid w:val="00B11B58"/>
    <w:rsid w:val="00B13AA9"/>
    <w:rsid w:val="00B26CAE"/>
    <w:rsid w:val="00B52E07"/>
    <w:rsid w:val="00B5453F"/>
    <w:rsid w:val="00B652B9"/>
    <w:rsid w:val="00B8411D"/>
    <w:rsid w:val="00B875E7"/>
    <w:rsid w:val="00B91C4F"/>
    <w:rsid w:val="00BB0215"/>
    <w:rsid w:val="00BB524B"/>
    <w:rsid w:val="00BC5EC5"/>
    <w:rsid w:val="00BC7157"/>
    <w:rsid w:val="00BD0793"/>
    <w:rsid w:val="00BD170C"/>
    <w:rsid w:val="00BE5F08"/>
    <w:rsid w:val="00BF1144"/>
    <w:rsid w:val="00BF420B"/>
    <w:rsid w:val="00C05E11"/>
    <w:rsid w:val="00C13CFC"/>
    <w:rsid w:val="00C234F1"/>
    <w:rsid w:val="00C235D8"/>
    <w:rsid w:val="00C36CD8"/>
    <w:rsid w:val="00C65D3F"/>
    <w:rsid w:val="00C6798E"/>
    <w:rsid w:val="00C84EF5"/>
    <w:rsid w:val="00CC23E4"/>
    <w:rsid w:val="00CD0C2A"/>
    <w:rsid w:val="00CD410A"/>
    <w:rsid w:val="00CE2EE4"/>
    <w:rsid w:val="00CF1932"/>
    <w:rsid w:val="00CF2B9B"/>
    <w:rsid w:val="00CF63A5"/>
    <w:rsid w:val="00D039FD"/>
    <w:rsid w:val="00D078E6"/>
    <w:rsid w:val="00D40758"/>
    <w:rsid w:val="00D51B8B"/>
    <w:rsid w:val="00D54A51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A3633"/>
    <w:rsid w:val="00DB374E"/>
    <w:rsid w:val="00DB6BE2"/>
    <w:rsid w:val="00DC2759"/>
    <w:rsid w:val="00DD3DB4"/>
    <w:rsid w:val="00DE2338"/>
    <w:rsid w:val="00DF4B2B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332D"/>
    <w:rsid w:val="00EA47DB"/>
    <w:rsid w:val="00EA64DD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2879"/>
    <w:rsid w:val="00F94C06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7B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styleId="PargrafodaLista">
    <w:name w:val="List Paragraph"/>
    <w:basedOn w:val="Normal"/>
    <w:uiPriority w:val="34"/>
    <w:qFormat/>
    <w:rsid w:val="00146A4C"/>
    <w:pPr>
      <w:ind w:left="720"/>
      <w:contextualSpacing/>
    </w:pPr>
  </w:style>
  <w:style w:type="character" w:customStyle="1" w:styleId="Ttulo8Char">
    <w:name w:val="Título 8 Char"/>
    <w:basedOn w:val="Fontepargpadro"/>
    <w:link w:val="Ttulo8"/>
    <w:uiPriority w:val="9"/>
    <w:semiHidden/>
    <w:rsid w:val="003B7B8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styleId="TabeladeGrade4-nfase1">
    <w:name w:val="Grid Table 4 Accent 1"/>
    <w:basedOn w:val="Tabelanormal"/>
    <w:uiPriority w:val="49"/>
    <w:rsid w:val="001174DC"/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3</Pages>
  <Words>702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2026-04-29T15:35:00Z</cp:lastPrinted>
  <dcterms:created xsi:type="dcterms:W3CDTF">2026-04-29T15:37:00Z</dcterms:created>
  <dcterms:modified xsi:type="dcterms:W3CDTF">2026-04-29T15:37:00Z</dcterms:modified>
</cp:coreProperties>
</file>