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423B8F45" w:rsidR="00E21828" w:rsidRPr="00075858" w:rsidRDefault="00C018B0" w:rsidP="00075858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EMENDA </w:t>
      </w:r>
      <w:r w:rsidR="00F65472" w:rsidRPr="00075858">
        <w:rPr>
          <w:rFonts w:ascii="Tahoma" w:eastAsia="Tahoma" w:hAnsi="Tahoma" w:cs="Tahoma"/>
          <w:b/>
        </w:rPr>
        <w:t>A</w:t>
      </w:r>
      <w:r w:rsidR="00D97B4A" w:rsidRPr="00075858">
        <w:rPr>
          <w:rFonts w:ascii="Tahoma" w:eastAsia="Tahoma" w:hAnsi="Tahoma" w:cs="Tahoma"/>
          <w:b/>
        </w:rPr>
        <w:t>DITIVA</w:t>
      </w:r>
      <w:r w:rsidR="001E28BD" w:rsidRPr="00075858">
        <w:rPr>
          <w:rFonts w:ascii="Tahoma" w:eastAsia="Tahoma" w:hAnsi="Tahoma" w:cs="Tahoma"/>
          <w:b/>
        </w:rPr>
        <w:t xml:space="preserve"> Nº</w:t>
      </w:r>
      <w:r w:rsidRPr="00075858">
        <w:rPr>
          <w:rFonts w:ascii="Tahoma" w:eastAsia="Tahoma" w:hAnsi="Tahoma" w:cs="Tahoma"/>
          <w:b/>
        </w:rPr>
        <w:t xml:space="preserve">    /202</w:t>
      </w:r>
      <w:r w:rsidR="00E84A7B" w:rsidRPr="00075858">
        <w:rPr>
          <w:rFonts w:ascii="Tahoma" w:eastAsia="Tahoma" w:hAnsi="Tahoma" w:cs="Tahoma"/>
          <w:b/>
        </w:rPr>
        <w:t>6</w:t>
      </w:r>
    </w:p>
    <w:p w14:paraId="648F5366" w14:textId="45A93223" w:rsidR="00E21828" w:rsidRPr="00075858" w:rsidRDefault="00C018B0" w:rsidP="00075858">
      <w:pPr>
        <w:spacing w:line="360" w:lineRule="auto"/>
        <w:jc w:val="center"/>
        <w:rPr>
          <w:rFonts w:ascii="Tahoma" w:eastAsia="Tahoma" w:hAnsi="Tahoma" w:cs="Tahoma"/>
          <w:b/>
          <w:bCs/>
        </w:rPr>
      </w:pPr>
      <w:r w:rsidRPr="00075858">
        <w:rPr>
          <w:rFonts w:ascii="Tahoma" w:eastAsia="Tahoma" w:hAnsi="Tahoma" w:cs="Tahoma"/>
          <w:b/>
          <w:bCs/>
        </w:rPr>
        <w:t xml:space="preserve">Projeto de Lei nº </w:t>
      </w:r>
      <w:r w:rsidR="00075858" w:rsidRPr="00075858">
        <w:rPr>
          <w:rFonts w:ascii="Tahoma" w:eastAsia="Tahoma" w:hAnsi="Tahoma" w:cs="Tahoma"/>
          <w:b/>
          <w:bCs/>
        </w:rPr>
        <w:t>137</w:t>
      </w:r>
      <w:r w:rsidRPr="00075858">
        <w:rPr>
          <w:rFonts w:ascii="Tahoma" w:eastAsia="Tahoma" w:hAnsi="Tahoma" w:cs="Tahoma"/>
          <w:b/>
          <w:bCs/>
        </w:rPr>
        <w:t>/202</w:t>
      </w:r>
      <w:r w:rsidR="00075858" w:rsidRPr="00075858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Pr="00075858" w:rsidRDefault="00B86542" w:rsidP="00075858">
      <w:pPr>
        <w:spacing w:line="360" w:lineRule="auto"/>
        <w:rPr>
          <w:rFonts w:ascii="Tahoma" w:eastAsia="Tahoma" w:hAnsi="Tahoma" w:cs="Tahoma"/>
        </w:rPr>
      </w:pPr>
    </w:p>
    <w:p w14:paraId="5889AB14" w14:textId="622DB0A1" w:rsidR="00E21828" w:rsidRPr="00075858" w:rsidRDefault="00542E64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542E64">
        <w:rPr>
          <w:rFonts w:ascii="Tahoma" w:eastAsia="Tahoma" w:hAnsi="Tahoma" w:cs="Tahoma"/>
          <w:b/>
        </w:rPr>
        <w:t>ACRESCENTA DISPOSITIVO AO PROJETO DE LEI PARA INSTITUIR DIRETRIZ DE CAPTAÇÃO PROGRESSIVA DE PATROCÍNIOS, APOIOS E PARCERIAS COM ENTIDADES PRIVADAS PARA O FINANCIAMENTO COMPLEMENTAR DO CARNAVAL DE NITERÓI, COM VISTAS À REDUÇÃO GRADUAL DA PARTICIPAÇÃO DIRETA DE RECURSOS PÚBLICOS MUNICIPAIS</w:t>
      </w:r>
      <w:r w:rsidRPr="00075858">
        <w:rPr>
          <w:rFonts w:ascii="Tahoma" w:eastAsia="Tahoma" w:hAnsi="Tahoma" w:cs="Tahoma"/>
          <w:b/>
        </w:rPr>
        <w:t>.</w:t>
      </w:r>
    </w:p>
    <w:p w14:paraId="614C17D4" w14:textId="77777777" w:rsidR="00B86542" w:rsidRPr="00075858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Pr="00075858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613EFA5B" w14:textId="77777777" w:rsidR="00542E64" w:rsidRPr="00542E64" w:rsidRDefault="00C018B0" w:rsidP="00542E64">
      <w:pPr>
        <w:spacing w:line="360" w:lineRule="auto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  <w:b/>
        </w:rPr>
        <w:t>Art. 1º</w:t>
      </w:r>
      <w:r w:rsidRPr="00075858">
        <w:rPr>
          <w:rFonts w:ascii="Tahoma" w:eastAsia="Tahoma" w:hAnsi="Tahoma" w:cs="Tahoma"/>
        </w:rPr>
        <w:t xml:space="preserve"> - </w:t>
      </w:r>
      <w:r w:rsidR="00542E64" w:rsidRPr="00542E64">
        <w:rPr>
          <w:rFonts w:ascii="Tahoma" w:eastAsia="Tahoma" w:hAnsi="Tahoma" w:cs="Tahoma"/>
        </w:rPr>
        <w:t>Fica acrescido o art. 4º-A ao Projeto de Lei, com a seguinte redação:</w:t>
      </w:r>
    </w:p>
    <w:p w14:paraId="48174F59" w14:textId="77777777" w:rsidR="00542E64" w:rsidRPr="00542E64" w:rsidRDefault="00542E64" w:rsidP="00542E64">
      <w:pPr>
        <w:spacing w:line="360" w:lineRule="auto"/>
        <w:jc w:val="both"/>
        <w:rPr>
          <w:rFonts w:ascii="Tahoma" w:eastAsia="Tahoma" w:hAnsi="Tahoma" w:cs="Tahoma"/>
        </w:rPr>
      </w:pPr>
    </w:p>
    <w:p w14:paraId="414BDE73" w14:textId="6D2591E4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542E64">
        <w:rPr>
          <w:rFonts w:ascii="Tahoma" w:eastAsia="Tahoma" w:hAnsi="Tahoma" w:cs="Tahoma"/>
        </w:rPr>
        <w:t>“Art. 4º-A</w:t>
      </w:r>
      <w:r>
        <w:rPr>
          <w:rFonts w:ascii="Tahoma" w:eastAsia="Tahoma" w:hAnsi="Tahoma" w:cs="Tahoma"/>
        </w:rPr>
        <w:t xml:space="preserve">. </w:t>
      </w:r>
      <w:r w:rsidRPr="00542E64">
        <w:rPr>
          <w:rFonts w:ascii="Tahoma" w:eastAsia="Tahoma" w:hAnsi="Tahoma" w:cs="Tahoma"/>
        </w:rPr>
        <w:t>O Poder Executivo, diretamente ou por intermédio da Niterói Empresa de Lazer e Turismo – NELTUR, deverá adotar, de forma progressiva, medidas voltadas à captação de patrocínios, apoios institucionais e parcerias com entidades privadas para o financiamento complementar das atividades carnavalescas subvencionadas na forma da Lei Municipal nº 4.063, de 24 de outubro de 2025.</w:t>
      </w:r>
    </w:p>
    <w:p w14:paraId="16A1C8CE" w14:textId="77777777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</w:p>
    <w:p w14:paraId="57A1574F" w14:textId="77777777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542E64">
        <w:rPr>
          <w:rFonts w:ascii="Tahoma" w:eastAsia="Tahoma" w:hAnsi="Tahoma" w:cs="Tahoma"/>
        </w:rPr>
        <w:t>§ 1º Os recursos privados captados na forma do caput terão caráter complementar e deverão observar a legislação aplicável, os princípios da administração pública e a preservação do interesse público, da transparência, da impessoalidade e da finalidade cultural do Carnaval.</w:t>
      </w:r>
    </w:p>
    <w:p w14:paraId="639F4EAF" w14:textId="77777777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</w:p>
    <w:p w14:paraId="719A795F" w14:textId="77777777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542E64">
        <w:rPr>
          <w:rFonts w:ascii="Tahoma" w:eastAsia="Tahoma" w:hAnsi="Tahoma" w:cs="Tahoma"/>
        </w:rPr>
        <w:t>§ 2º A atuação do Poder Executivo e da NELTUR deverá buscar, sempre que possível, a ampliação da participação de recursos privados no custeio do Carnaval, com vistas à redução gradual da pressão sobre os recursos do Tesouro Municipal nos exercícios subsequentes.</w:t>
      </w:r>
    </w:p>
    <w:p w14:paraId="4E2F1DA2" w14:textId="77777777" w:rsidR="00542E64" w:rsidRP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</w:p>
    <w:p w14:paraId="6760A7A7" w14:textId="0090ADE4" w:rsidR="00542E64" w:rsidRDefault="00542E64" w:rsidP="00542E64">
      <w:pPr>
        <w:spacing w:line="360" w:lineRule="auto"/>
        <w:ind w:left="4253"/>
        <w:jc w:val="both"/>
        <w:rPr>
          <w:rFonts w:ascii="Tahoma" w:eastAsia="Tahoma" w:hAnsi="Tahoma" w:cs="Tahoma"/>
        </w:rPr>
      </w:pPr>
      <w:r w:rsidRPr="00542E64">
        <w:rPr>
          <w:rFonts w:ascii="Tahoma" w:eastAsia="Tahoma" w:hAnsi="Tahoma" w:cs="Tahoma"/>
        </w:rPr>
        <w:t>§ 3º O Poder Executivo encaminhará anualmente à Câmara Municipal de Niterói relatório sintético contendo as medidas adotadas p</w:t>
      </w:r>
      <w:bookmarkStart w:id="0" w:name="_GoBack"/>
      <w:bookmarkEnd w:id="0"/>
      <w:r w:rsidRPr="00542E64">
        <w:rPr>
          <w:rFonts w:ascii="Tahoma" w:eastAsia="Tahoma" w:hAnsi="Tahoma" w:cs="Tahoma"/>
        </w:rPr>
        <w:t>ara captação de recursos privados, os resultados obtidos e a estimativa de repercussão sobre a necessidade de aporte de recursos públicos municipais nos exercícios seguintes.”</w:t>
      </w:r>
    </w:p>
    <w:p w14:paraId="65D356BA" w14:textId="0DDDFF89" w:rsidR="00F078E4" w:rsidRDefault="00F078E4" w:rsidP="00F078E4">
      <w:pPr>
        <w:spacing w:line="360" w:lineRule="auto"/>
        <w:ind w:left="4253"/>
        <w:jc w:val="both"/>
        <w:rPr>
          <w:rFonts w:ascii="Tahoma" w:eastAsia="Tahoma" w:hAnsi="Tahoma" w:cs="Tahoma"/>
        </w:rPr>
      </w:pPr>
    </w:p>
    <w:p w14:paraId="51F86713" w14:textId="77777777" w:rsidR="00075858" w:rsidRP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59B6AFC6" w:rsidR="00E21828" w:rsidRPr="0007585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Sala das Sessões, </w:t>
      </w:r>
      <w:r w:rsidR="00075858">
        <w:rPr>
          <w:rFonts w:ascii="Tahoma" w:eastAsia="Tahoma" w:hAnsi="Tahoma" w:cs="Tahoma"/>
        </w:rPr>
        <w:t>14</w:t>
      </w:r>
      <w:r w:rsidRPr="00075858">
        <w:rPr>
          <w:rFonts w:ascii="Tahoma" w:eastAsia="Tahoma" w:hAnsi="Tahoma" w:cs="Tahoma"/>
        </w:rPr>
        <w:t xml:space="preserve"> de </w:t>
      </w:r>
      <w:r w:rsidR="00075858">
        <w:rPr>
          <w:rFonts w:ascii="Tahoma" w:eastAsia="Tahoma" w:hAnsi="Tahoma" w:cs="Tahoma"/>
        </w:rPr>
        <w:t>abril</w:t>
      </w:r>
      <w:r w:rsidRPr="00075858"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 w:rsidRPr="00075858">
        <w:rPr>
          <w:rFonts w:ascii="Tahoma" w:eastAsia="Tahoma" w:hAnsi="Tahoma" w:cs="Tahoma"/>
        </w:rPr>
        <w:t>6</w:t>
      </w:r>
      <w:r w:rsidR="00BD430E" w:rsidRPr="00075858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6FE25F75" w14:textId="5A74FB39" w:rsidR="00282AD3" w:rsidRPr="00075858" w:rsidRDefault="00282AD3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54D68CF4" w14:textId="77777777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Pr="00075858" w:rsidRDefault="00BC5B4B" w:rsidP="00BC5B4B">
      <w:pPr>
        <w:jc w:val="center"/>
      </w:pPr>
      <w:bookmarkStart w:id="5" w:name="_heading=h.3dy6vkm" w:colFirst="0" w:colLast="0"/>
      <w:bookmarkEnd w:id="5"/>
      <w:r w:rsidRPr="00075858"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075858" w:rsidRDefault="00BC5B4B" w:rsidP="00BC5B4B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Daniel Marques </w:t>
      </w:r>
    </w:p>
    <w:p w14:paraId="7DD4A311" w14:textId="6BB18043" w:rsidR="00F60804" w:rsidRPr="00075858" w:rsidRDefault="00D91385" w:rsidP="00033A0E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39280CE" w14:textId="51F4091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B1DA966" w14:textId="555AD914" w:rsidR="00282AD3" w:rsidRDefault="00282AD3" w:rsidP="00F078E4">
      <w:pPr>
        <w:rPr>
          <w:rFonts w:ascii="Tahoma" w:eastAsia="Tahoma" w:hAnsi="Tahoma" w:cs="Tahoma"/>
          <w:b/>
        </w:rPr>
      </w:pPr>
    </w:p>
    <w:p w14:paraId="1946BAD8" w14:textId="497ABD7F" w:rsidR="00542E64" w:rsidRDefault="00542E64" w:rsidP="00F078E4">
      <w:pPr>
        <w:rPr>
          <w:rFonts w:ascii="Tahoma" w:eastAsia="Tahoma" w:hAnsi="Tahoma" w:cs="Tahoma"/>
          <w:b/>
        </w:rPr>
      </w:pPr>
    </w:p>
    <w:p w14:paraId="04C4807D" w14:textId="0181FC9A" w:rsidR="00542E64" w:rsidRDefault="00542E64" w:rsidP="00F078E4">
      <w:pPr>
        <w:rPr>
          <w:rFonts w:ascii="Tahoma" w:eastAsia="Tahoma" w:hAnsi="Tahoma" w:cs="Tahoma"/>
          <w:b/>
        </w:rPr>
      </w:pPr>
    </w:p>
    <w:p w14:paraId="72C45478" w14:textId="70E96618" w:rsidR="00542E64" w:rsidRDefault="00542E64" w:rsidP="00F078E4">
      <w:pPr>
        <w:rPr>
          <w:rFonts w:ascii="Tahoma" w:eastAsia="Tahoma" w:hAnsi="Tahoma" w:cs="Tahoma"/>
          <w:b/>
        </w:rPr>
      </w:pPr>
    </w:p>
    <w:p w14:paraId="44FE9EAE" w14:textId="771A4BB4" w:rsidR="00542E64" w:rsidRDefault="00542E64" w:rsidP="00F078E4">
      <w:pPr>
        <w:rPr>
          <w:rFonts w:ascii="Tahoma" w:eastAsia="Tahoma" w:hAnsi="Tahoma" w:cs="Tahoma"/>
          <w:b/>
        </w:rPr>
      </w:pPr>
    </w:p>
    <w:p w14:paraId="46D73811" w14:textId="498ED1CC" w:rsidR="00542E64" w:rsidRDefault="00542E64" w:rsidP="00F078E4">
      <w:pPr>
        <w:rPr>
          <w:rFonts w:ascii="Tahoma" w:eastAsia="Tahoma" w:hAnsi="Tahoma" w:cs="Tahoma"/>
          <w:b/>
        </w:rPr>
      </w:pPr>
    </w:p>
    <w:p w14:paraId="07134EFD" w14:textId="0AC9E527" w:rsidR="00542E64" w:rsidRDefault="00542E64" w:rsidP="00F078E4">
      <w:pPr>
        <w:rPr>
          <w:rFonts w:ascii="Tahoma" w:eastAsia="Tahoma" w:hAnsi="Tahoma" w:cs="Tahoma"/>
          <w:b/>
        </w:rPr>
      </w:pPr>
    </w:p>
    <w:p w14:paraId="7E68C735" w14:textId="14AF2562" w:rsidR="00542E64" w:rsidRDefault="00542E64" w:rsidP="00F078E4">
      <w:pPr>
        <w:rPr>
          <w:rFonts w:ascii="Tahoma" w:eastAsia="Tahoma" w:hAnsi="Tahoma" w:cs="Tahoma"/>
          <w:b/>
        </w:rPr>
      </w:pPr>
    </w:p>
    <w:p w14:paraId="1E39CE16" w14:textId="77777777" w:rsidR="00542E64" w:rsidRDefault="00542E64" w:rsidP="00F078E4">
      <w:pPr>
        <w:rPr>
          <w:rFonts w:ascii="Tahoma" w:eastAsia="Tahoma" w:hAnsi="Tahoma" w:cs="Tahoma"/>
          <w:b/>
        </w:rPr>
      </w:pPr>
    </w:p>
    <w:p w14:paraId="75741B57" w14:textId="2B3F5799" w:rsidR="00EF419D" w:rsidRPr="00075858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7369C025" w14:textId="2C9B235E" w:rsidR="00542E64" w:rsidRPr="00542E64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542E64">
        <w:rPr>
          <w:rFonts w:ascii="Tahoma" w:eastAsia="Tahoma" w:hAnsi="Tahoma" w:cs="Tahoma"/>
          <w:color w:val="000000" w:themeColor="text1"/>
        </w:rPr>
        <w:t>A presente emenda aditiva tem por objetivo aperfeiçoar o regime de financiamento do Carnaval de Niterói, introduzindo diretriz de diversificação das fontes de custeio e de redução gradual da dependência exclusiva de recursos públicos municipais.</w:t>
      </w:r>
    </w:p>
    <w:p w14:paraId="2104196F" w14:textId="2D8A458E" w:rsidR="00542E64" w:rsidRPr="00542E64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542E64">
        <w:rPr>
          <w:rFonts w:ascii="Tahoma" w:eastAsia="Tahoma" w:hAnsi="Tahoma" w:cs="Tahoma"/>
          <w:color w:val="000000" w:themeColor="text1"/>
        </w:rPr>
        <w:t>A Lei Municipal nº 4.063/2025 estruturou o incentivo financeiro ao Carnaval, inclusive com execução, repasse e prestação de contas vinculados à atuação do Poder Executivo e da NELTUR. Nas páginas 3 e 6 do texto da lei, observa-se que a NELTUR já possui atribuições relacionadas à operacionalização, apoio técnico e execução de medidas ligadas às parcerias e aos repasses, o que torna compatível a previsão de esforço institucional voltado também à captação complementar de recursos privados.</w:t>
      </w:r>
    </w:p>
    <w:p w14:paraId="6B825099" w14:textId="79C3560F" w:rsidR="00542E64" w:rsidRPr="00542E64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542E64">
        <w:rPr>
          <w:rFonts w:ascii="Tahoma" w:eastAsia="Tahoma" w:hAnsi="Tahoma" w:cs="Tahoma"/>
          <w:color w:val="000000" w:themeColor="text1"/>
        </w:rPr>
        <w:t>A proposta não extingue o apoio público nem transfere ao setor privado a condução da política cultural. Seu objetivo é criar orientação legislativa para que a Administração Municipal passe a atuar, de modo planejado e progressivo, na busca de patrocínios, apoios e parcerias que aliviem o impacto orçamentário da subvenção e ampliem a sustentabilidade financeira do Carnaval.</w:t>
      </w:r>
    </w:p>
    <w:p w14:paraId="15A534F2" w14:textId="6687909A" w:rsidR="00542E64" w:rsidRPr="00542E64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542E64">
        <w:rPr>
          <w:rFonts w:ascii="Tahoma" w:eastAsia="Tahoma" w:hAnsi="Tahoma" w:cs="Tahoma"/>
          <w:color w:val="000000" w:themeColor="text1"/>
        </w:rPr>
        <w:t>Também se evita, com a redação sugerida, qualquer comprometimento da finalidade pública do incentivo, ao exigir respeito à legalidade, à impessoalidade, à transparência e ao interesse cultural do evento.</w:t>
      </w:r>
    </w:p>
    <w:p w14:paraId="0535EB26" w14:textId="55C97B41" w:rsidR="00542E64" w:rsidRPr="00542E64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542E64">
        <w:rPr>
          <w:rFonts w:ascii="Tahoma" w:eastAsia="Tahoma" w:hAnsi="Tahoma" w:cs="Tahoma"/>
          <w:color w:val="000000" w:themeColor="text1"/>
        </w:rPr>
        <w:t>A exigência de relatório anual ao Poder Legislativo reforça o controle institucional da política pública, permitindo acompanhar se o Executivo está efetivamente adotando providências para reduzir, ao longo do tempo, o peso da despesa pública direta no financiamento do Carnaval.</w:t>
      </w:r>
    </w:p>
    <w:p w14:paraId="13EEA59F" w14:textId="008AC3D6" w:rsidR="00282AD3" w:rsidRPr="00075858" w:rsidRDefault="00542E64" w:rsidP="00542E64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542E64">
        <w:rPr>
          <w:rFonts w:ascii="Tahoma" w:eastAsia="Tahoma" w:hAnsi="Tahoma" w:cs="Tahoma"/>
          <w:color w:val="000000" w:themeColor="text1"/>
        </w:rPr>
        <w:t>Dessa forma, a emenda concilia valorização cultural, prudência fiscal, transparência administrativa e planejamento de médio prazo.</w:t>
      </w:r>
    </w:p>
    <w:sectPr w:rsidR="00282AD3" w:rsidRPr="00075858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34B55" w14:textId="77777777" w:rsidR="00DC0B49" w:rsidRDefault="00DC0B49">
      <w:pPr>
        <w:spacing w:line="240" w:lineRule="auto"/>
      </w:pPr>
      <w:r>
        <w:separator/>
      </w:r>
    </w:p>
  </w:endnote>
  <w:endnote w:type="continuationSeparator" w:id="0">
    <w:p w14:paraId="45DB4A3A" w14:textId="77777777" w:rsidR="00DC0B49" w:rsidRDefault="00DC0B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C2DCE" w14:textId="77777777" w:rsidR="00DC0B49" w:rsidRDefault="00DC0B49">
      <w:pPr>
        <w:spacing w:line="240" w:lineRule="auto"/>
      </w:pPr>
      <w:r>
        <w:separator/>
      </w:r>
    </w:p>
  </w:footnote>
  <w:footnote w:type="continuationSeparator" w:id="0">
    <w:p w14:paraId="35B22058" w14:textId="77777777" w:rsidR="00DC0B49" w:rsidRDefault="00DC0B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5858"/>
    <w:rsid w:val="00077CB9"/>
    <w:rsid w:val="00097A2F"/>
    <w:rsid w:val="000C0625"/>
    <w:rsid w:val="000C1F21"/>
    <w:rsid w:val="000C7E2F"/>
    <w:rsid w:val="000D3570"/>
    <w:rsid w:val="000E40CC"/>
    <w:rsid w:val="000F56C7"/>
    <w:rsid w:val="001207EC"/>
    <w:rsid w:val="00132300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42E64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C0B49"/>
    <w:rsid w:val="00DD1E78"/>
    <w:rsid w:val="00E04972"/>
    <w:rsid w:val="00E21828"/>
    <w:rsid w:val="00E4099F"/>
    <w:rsid w:val="00E84A7B"/>
    <w:rsid w:val="00EA7DF3"/>
    <w:rsid w:val="00EB5BCE"/>
    <w:rsid w:val="00ED5DC2"/>
    <w:rsid w:val="00EF419D"/>
    <w:rsid w:val="00F078E4"/>
    <w:rsid w:val="00F22745"/>
    <w:rsid w:val="00F5457B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2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8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549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35</cp:revision>
  <cp:lastPrinted>2026-03-03T18:32:00Z</cp:lastPrinted>
  <dcterms:created xsi:type="dcterms:W3CDTF">2025-03-24T14:40:00Z</dcterms:created>
  <dcterms:modified xsi:type="dcterms:W3CDTF">2026-04-14T17:47:00Z</dcterms:modified>
</cp:coreProperties>
</file>