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9B55C" w14:textId="423B8F45" w:rsidR="00E21828" w:rsidRPr="00075858" w:rsidRDefault="00C018B0" w:rsidP="00075858">
      <w:pPr>
        <w:tabs>
          <w:tab w:val="left" w:pos="318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EMENDA </w:t>
      </w:r>
      <w:r w:rsidR="00F65472" w:rsidRPr="00075858">
        <w:rPr>
          <w:rFonts w:ascii="Tahoma" w:eastAsia="Tahoma" w:hAnsi="Tahoma" w:cs="Tahoma"/>
          <w:b/>
        </w:rPr>
        <w:t>A</w:t>
      </w:r>
      <w:r w:rsidR="00D97B4A" w:rsidRPr="00075858">
        <w:rPr>
          <w:rFonts w:ascii="Tahoma" w:eastAsia="Tahoma" w:hAnsi="Tahoma" w:cs="Tahoma"/>
          <w:b/>
        </w:rPr>
        <w:t>DITIVA</w:t>
      </w:r>
      <w:r w:rsidR="001E28BD" w:rsidRPr="00075858">
        <w:rPr>
          <w:rFonts w:ascii="Tahoma" w:eastAsia="Tahoma" w:hAnsi="Tahoma" w:cs="Tahoma"/>
          <w:b/>
        </w:rPr>
        <w:t xml:space="preserve"> Nº</w:t>
      </w:r>
      <w:r w:rsidRPr="00075858">
        <w:rPr>
          <w:rFonts w:ascii="Tahoma" w:eastAsia="Tahoma" w:hAnsi="Tahoma" w:cs="Tahoma"/>
          <w:b/>
        </w:rPr>
        <w:t xml:space="preserve">    /202</w:t>
      </w:r>
      <w:r w:rsidR="00E84A7B" w:rsidRPr="00075858">
        <w:rPr>
          <w:rFonts w:ascii="Tahoma" w:eastAsia="Tahoma" w:hAnsi="Tahoma" w:cs="Tahoma"/>
          <w:b/>
        </w:rPr>
        <w:t>6</w:t>
      </w:r>
    </w:p>
    <w:p w14:paraId="648F5366" w14:textId="45A93223" w:rsidR="00E21828" w:rsidRPr="00075858" w:rsidRDefault="00C018B0" w:rsidP="00075858">
      <w:pPr>
        <w:spacing w:line="360" w:lineRule="auto"/>
        <w:jc w:val="center"/>
        <w:rPr>
          <w:rFonts w:ascii="Tahoma" w:eastAsia="Tahoma" w:hAnsi="Tahoma" w:cs="Tahoma"/>
          <w:b/>
          <w:bCs/>
        </w:rPr>
      </w:pPr>
      <w:r w:rsidRPr="00075858">
        <w:rPr>
          <w:rFonts w:ascii="Tahoma" w:eastAsia="Tahoma" w:hAnsi="Tahoma" w:cs="Tahoma"/>
          <w:b/>
          <w:bCs/>
        </w:rPr>
        <w:t xml:space="preserve">Projeto de Lei nº </w:t>
      </w:r>
      <w:r w:rsidR="00075858" w:rsidRPr="00075858">
        <w:rPr>
          <w:rFonts w:ascii="Tahoma" w:eastAsia="Tahoma" w:hAnsi="Tahoma" w:cs="Tahoma"/>
          <w:b/>
          <w:bCs/>
        </w:rPr>
        <w:t>137</w:t>
      </w:r>
      <w:r w:rsidRPr="00075858">
        <w:rPr>
          <w:rFonts w:ascii="Tahoma" w:eastAsia="Tahoma" w:hAnsi="Tahoma" w:cs="Tahoma"/>
          <w:b/>
          <w:bCs/>
        </w:rPr>
        <w:t>/202</w:t>
      </w:r>
      <w:r w:rsidR="00075858" w:rsidRPr="00075858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Pr="00075858" w:rsidRDefault="00B86542" w:rsidP="00075858">
      <w:pPr>
        <w:spacing w:line="360" w:lineRule="auto"/>
        <w:rPr>
          <w:rFonts w:ascii="Tahoma" w:eastAsia="Tahoma" w:hAnsi="Tahoma" w:cs="Tahoma"/>
        </w:rPr>
      </w:pPr>
    </w:p>
    <w:p w14:paraId="5889AB14" w14:textId="48296649" w:rsidR="00E21828" w:rsidRPr="00075858" w:rsidRDefault="00F078E4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 w:rsidRPr="00F078E4">
        <w:rPr>
          <w:rFonts w:ascii="Tahoma" w:eastAsia="Tahoma" w:hAnsi="Tahoma" w:cs="Tahoma"/>
          <w:b/>
        </w:rPr>
        <w:t>ACRESCENTA PARÁGRAFO AO ART. 4º DO PROJETO DE LEI, PARA CONDICIONAR A CELEBRAÇÃO DO INSTRUMENTO DE REPASSE À APRESENTAÇÃO DE PLANO DE TRABALHO COM CLÁUSULA EXPRESSA DE OBSERVÂNCIA DA VEDAÇÃO AO USO POLÍTICO-PARTIDÁRIO DOS RECURSOS</w:t>
      </w:r>
      <w:r w:rsidRPr="00075858">
        <w:rPr>
          <w:rFonts w:ascii="Tahoma" w:eastAsia="Tahoma" w:hAnsi="Tahoma" w:cs="Tahoma"/>
          <w:b/>
        </w:rPr>
        <w:t>.</w:t>
      </w:r>
    </w:p>
    <w:p w14:paraId="614C17D4" w14:textId="77777777" w:rsidR="00B86542" w:rsidRPr="00075858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59D54209" w14:textId="77777777" w:rsidR="000C1F21" w:rsidRPr="00075858" w:rsidRDefault="000C1F21">
      <w:pPr>
        <w:ind w:left="4395"/>
        <w:jc w:val="both"/>
        <w:rPr>
          <w:rFonts w:ascii="Tahoma" w:eastAsia="Tahoma" w:hAnsi="Tahoma" w:cs="Tahoma"/>
          <w:b/>
        </w:rPr>
      </w:pPr>
    </w:p>
    <w:p w14:paraId="6760A7A7" w14:textId="77777777" w:rsidR="00F078E4" w:rsidRPr="00F078E4" w:rsidRDefault="00C018B0" w:rsidP="00F078E4">
      <w:pPr>
        <w:spacing w:line="360" w:lineRule="auto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  <w:b/>
        </w:rPr>
        <w:t>Art. 1º</w:t>
      </w:r>
      <w:r w:rsidRPr="00075858">
        <w:rPr>
          <w:rFonts w:ascii="Tahoma" w:eastAsia="Tahoma" w:hAnsi="Tahoma" w:cs="Tahoma"/>
        </w:rPr>
        <w:t xml:space="preserve"> - </w:t>
      </w:r>
      <w:r w:rsidR="00F078E4" w:rsidRPr="00F078E4">
        <w:rPr>
          <w:rFonts w:ascii="Tahoma" w:eastAsia="Tahoma" w:hAnsi="Tahoma" w:cs="Tahoma"/>
        </w:rPr>
        <w:t>Fica acrescido parágrafo único ao art. 4º do Projeto de Lei, com a seguinte redação:</w:t>
      </w:r>
    </w:p>
    <w:p w14:paraId="020CACA1" w14:textId="77777777" w:rsidR="00F078E4" w:rsidRPr="00F078E4" w:rsidRDefault="00F078E4" w:rsidP="00F078E4">
      <w:pPr>
        <w:spacing w:line="360" w:lineRule="auto"/>
        <w:jc w:val="both"/>
        <w:rPr>
          <w:rFonts w:ascii="Tahoma" w:eastAsia="Tahoma" w:hAnsi="Tahoma" w:cs="Tahoma"/>
        </w:rPr>
      </w:pPr>
    </w:p>
    <w:p w14:paraId="65D356BA" w14:textId="3B4752BD" w:rsidR="00F078E4" w:rsidRDefault="00F078E4" w:rsidP="00F078E4">
      <w:pPr>
        <w:spacing w:line="360" w:lineRule="auto"/>
        <w:ind w:left="4253"/>
        <w:jc w:val="both"/>
        <w:rPr>
          <w:rFonts w:ascii="Tahoma" w:eastAsia="Tahoma" w:hAnsi="Tahoma" w:cs="Tahoma"/>
        </w:rPr>
      </w:pPr>
      <w:r w:rsidRPr="00F078E4">
        <w:rPr>
          <w:rFonts w:ascii="Tahoma" w:eastAsia="Tahoma" w:hAnsi="Tahoma" w:cs="Tahoma"/>
        </w:rPr>
        <w:t>“Parágrafo único. A celebração do instrumento jurídico de repasse, parceria, termo de fomento, colaboração, subvenção ou congênere ficará condicionada à apresentação, pela agremiação beneficiária, de plano de trabalho contendo declaração expressa de observância à vedação de uso de recursos públicos para propaganda político-partidária, promoção pessoal de agente público ou manifestação de campanha eleitoral, devendo tal obrigação constar expressamente do instrumento celebrado.”</w:t>
      </w:r>
    </w:p>
    <w:p w14:paraId="51F86713" w14:textId="77777777" w:rsidR="00075858" w:rsidRPr="00075858" w:rsidRDefault="00075858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59B6AFC6" w:rsidR="00E21828" w:rsidRPr="0007585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 xml:space="preserve">Sala das Sessões, </w:t>
      </w:r>
      <w:r w:rsidR="00075858">
        <w:rPr>
          <w:rFonts w:ascii="Tahoma" w:eastAsia="Tahoma" w:hAnsi="Tahoma" w:cs="Tahoma"/>
        </w:rPr>
        <w:t>14</w:t>
      </w:r>
      <w:r w:rsidRPr="00075858">
        <w:rPr>
          <w:rFonts w:ascii="Tahoma" w:eastAsia="Tahoma" w:hAnsi="Tahoma" w:cs="Tahoma"/>
        </w:rPr>
        <w:t xml:space="preserve"> de </w:t>
      </w:r>
      <w:r w:rsidR="00075858">
        <w:rPr>
          <w:rFonts w:ascii="Tahoma" w:eastAsia="Tahoma" w:hAnsi="Tahoma" w:cs="Tahoma"/>
        </w:rPr>
        <w:t>abril</w:t>
      </w:r>
      <w:r w:rsidRPr="00075858">
        <w:rPr>
          <w:rFonts w:ascii="Tahoma" w:eastAsia="Tahoma" w:hAnsi="Tahoma" w:cs="Tahoma"/>
        </w:rPr>
        <w:t xml:space="preserve"> de 202</w:t>
      </w:r>
      <w:bookmarkStart w:id="0" w:name="_heading=h.2et92p0" w:colFirst="0" w:colLast="0"/>
      <w:bookmarkStart w:id="1" w:name="_heading=h.tyjcwt" w:colFirst="0" w:colLast="0"/>
      <w:bookmarkEnd w:id="0"/>
      <w:bookmarkEnd w:id="1"/>
      <w:r w:rsidR="000C7E2F" w:rsidRPr="00075858">
        <w:rPr>
          <w:rFonts w:ascii="Tahoma" w:eastAsia="Tahoma" w:hAnsi="Tahoma" w:cs="Tahoma"/>
        </w:rPr>
        <w:t>6</w:t>
      </w:r>
      <w:r w:rsidR="00BD430E" w:rsidRPr="00075858">
        <w:rPr>
          <w:rFonts w:ascii="Tahoma" w:eastAsia="Tahoma" w:hAnsi="Tahoma" w:cs="Tahoma"/>
        </w:rPr>
        <w:t>.</w:t>
      </w:r>
      <w:bookmarkStart w:id="2" w:name="_heading=h.47hifivivccg" w:colFirst="0" w:colLast="0"/>
      <w:bookmarkEnd w:id="2"/>
    </w:p>
    <w:p w14:paraId="6FE25F75" w14:textId="5A74FB39" w:rsidR="00282AD3" w:rsidRPr="00075858" w:rsidRDefault="00282AD3">
      <w:pPr>
        <w:spacing w:line="360" w:lineRule="auto"/>
        <w:rPr>
          <w:rFonts w:ascii="Tahoma" w:eastAsia="Tahoma" w:hAnsi="Tahoma" w:cs="Tahoma"/>
        </w:rPr>
      </w:pPr>
      <w:bookmarkStart w:id="3" w:name="_heading=h.9z6259vul1qe" w:colFirst="0" w:colLast="0"/>
      <w:bookmarkEnd w:id="3"/>
    </w:p>
    <w:p w14:paraId="54D68CF4" w14:textId="77777777" w:rsidR="00282AD3" w:rsidRPr="00075858" w:rsidRDefault="00282AD3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Pr="00075858" w:rsidRDefault="00BC5B4B" w:rsidP="00BC5B4B">
      <w:pPr>
        <w:jc w:val="center"/>
      </w:pPr>
      <w:bookmarkStart w:id="4" w:name="_heading=h.3dy6vkm" w:colFirst="0" w:colLast="0"/>
      <w:bookmarkEnd w:id="4"/>
      <w:r w:rsidRPr="00075858"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075858" w:rsidRDefault="00BC5B4B" w:rsidP="00BC5B4B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Daniel Marques </w:t>
      </w:r>
    </w:p>
    <w:p w14:paraId="7DD4A311" w14:textId="6BB18043" w:rsidR="00F60804" w:rsidRPr="00075858" w:rsidRDefault="00D91385" w:rsidP="00033A0E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>Vereador</w:t>
      </w:r>
      <w:bookmarkStart w:id="5" w:name="_heading=h.1t3h5sf" w:colFirst="0" w:colLast="0"/>
      <w:bookmarkStart w:id="6" w:name="_heading=h.4d34og8" w:colFirst="0" w:colLast="0"/>
      <w:bookmarkStart w:id="7" w:name="_heading=h.2s8eyo1" w:colFirst="0" w:colLast="0"/>
      <w:bookmarkStart w:id="8" w:name="_heading=h.17dp8vu" w:colFirst="0" w:colLast="0"/>
      <w:bookmarkStart w:id="9" w:name="_heading=h.3rdcrjn" w:colFirst="0" w:colLast="0"/>
      <w:bookmarkStart w:id="10" w:name="_heading=h.26in1rg" w:colFirst="0" w:colLast="0"/>
      <w:bookmarkStart w:id="11" w:name="_heading=h.lnxbz9" w:colFirst="0" w:colLast="0"/>
      <w:bookmarkStart w:id="12" w:name="_heading=h.fpqpmc9yrbki" w:colFirst="0" w:colLast="0"/>
      <w:bookmarkStart w:id="13" w:name="_heading=h.exiqbem5rh8a" w:colFirst="0" w:colLast="0"/>
      <w:bookmarkStart w:id="14" w:name="_heading=h.35nkun2" w:colFirst="0" w:colLast="0"/>
      <w:bookmarkStart w:id="15" w:name="_heading=h.1ksv4uv" w:colFirst="0" w:colLast="0"/>
      <w:bookmarkStart w:id="16" w:name="_heading=h.44sinio" w:colFirst="0" w:colLast="0"/>
      <w:bookmarkStart w:id="17" w:name="_heading=h.2jxsxqh" w:colFirst="0" w:colLast="0"/>
      <w:bookmarkStart w:id="18" w:name="_heading=h.z337ya" w:colFirst="0" w:colLast="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139280CE" w14:textId="51F40917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2B1DA966" w14:textId="2BF878FC" w:rsidR="00282AD3" w:rsidRDefault="00282AD3" w:rsidP="00F078E4">
      <w:pPr>
        <w:rPr>
          <w:rFonts w:ascii="Tahoma" w:eastAsia="Tahoma" w:hAnsi="Tahoma" w:cs="Tahoma"/>
          <w:b/>
        </w:rPr>
      </w:pPr>
    </w:p>
    <w:p w14:paraId="75741B57" w14:textId="2B3F5799" w:rsidR="00EF419D" w:rsidRPr="00075858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lastRenderedPageBreak/>
        <w:t>JUSTIFICATIVA</w:t>
      </w:r>
      <w:bookmarkStart w:id="19" w:name="_heading=h.3j2qqm3" w:colFirst="0" w:colLast="0"/>
      <w:bookmarkEnd w:id="19"/>
    </w:p>
    <w:p w14:paraId="3CD0E513" w14:textId="77777777" w:rsidR="00F078E4" w:rsidRPr="00F078E4" w:rsidRDefault="00F078E4" w:rsidP="00F078E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F078E4">
        <w:rPr>
          <w:rFonts w:ascii="Tahoma" w:eastAsia="Tahoma" w:hAnsi="Tahoma" w:cs="Tahoma"/>
          <w:color w:val="000000" w:themeColor="text1"/>
        </w:rPr>
        <w:t>A presente emenda busca dar efetividade operacional à vedação proposta, inserindo o dever de observância já na fase de formalização do repasse.</w:t>
      </w:r>
    </w:p>
    <w:p w14:paraId="16FF117A" w14:textId="77777777" w:rsidR="00F078E4" w:rsidRPr="00F078E4" w:rsidRDefault="00F078E4" w:rsidP="00F078E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F078E4">
        <w:rPr>
          <w:rFonts w:ascii="Tahoma" w:eastAsia="Tahoma" w:hAnsi="Tahoma" w:cs="Tahoma"/>
          <w:color w:val="000000" w:themeColor="text1"/>
        </w:rPr>
        <w:t>A experiência administrativa demonstra que muitas controvérsias em matéria de prestação de contas decorrem da inexistência de cláusulas claras no plano de trabalho e no instrumento de parceria. Ao exigir declaração expressa da agremiação e previsão contratual correspondente, a emenda reforça a segurança jurídica, a transparência e a fiscalização do uso dos recursos públicos.</w:t>
      </w:r>
    </w:p>
    <w:p w14:paraId="1C09E593" w14:textId="77777777" w:rsidR="00F078E4" w:rsidRPr="00F078E4" w:rsidRDefault="00F078E4" w:rsidP="00F078E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F078E4">
        <w:rPr>
          <w:rFonts w:ascii="Tahoma" w:eastAsia="Tahoma" w:hAnsi="Tahoma" w:cs="Tahoma"/>
          <w:color w:val="000000" w:themeColor="text1"/>
        </w:rPr>
        <w:t>A medida também favorece a atuação preventiva da Administração Pública, permitindo que o controle não se dê apenas a posteriori, mas desde a origem da relação jurídica entre o Município e a entidade beneficiária.</w:t>
      </w:r>
    </w:p>
    <w:p w14:paraId="13EEA59F" w14:textId="50067151" w:rsidR="00282AD3" w:rsidRPr="00075858" w:rsidRDefault="00F078E4" w:rsidP="00F078E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  <w:r w:rsidRPr="00F078E4">
        <w:rPr>
          <w:rFonts w:ascii="Tahoma" w:eastAsia="Tahoma" w:hAnsi="Tahoma" w:cs="Tahoma"/>
          <w:color w:val="000000" w:themeColor="text1"/>
        </w:rPr>
        <w:t>Com isso, aperfeiçoa-se o projeto em sentido compatível com a boa governança, a responsabilidade na execução da despesa e a proteção do interesse público.</w:t>
      </w:r>
      <w:bookmarkStart w:id="20" w:name="_GoBack"/>
      <w:bookmarkEnd w:id="20"/>
    </w:p>
    <w:sectPr w:rsidR="00282AD3" w:rsidRPr="00075858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306171" w14:textId="77777777" w:rsidR="00F5457B" w:rsidRDefault="00F5457B">
      <w:pPr>
        <w:spacing w:line="240" w:lineRule="auto"/>
      </w:pPr>
      <w:r>
        <w:separator/>
      </w:r>
    </w:p>
  </w:endnote>
  <w:endnote w:type="continuationSeparator" w:id="0">
    <w:p w14:paraId="029ADACD" w14:textId="77777777" w:rsidR="00F5457B" w:rsidRDefault="00F545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C5ACE" w14:textId="77777777" w:rsidR="00F5457B" w:rsidRDefault="00F5457B">
      <w:pPr>
        <w:spacing w:line="240" w:lineRule="auto"/>
      </w:pPr>
      <w:r>
        <w:separator/>
      </w:r>
    </w:p>
  </w:footnote>
  <w:footnote w:type="continuationSeparator" w:id="0">
    <w:p w14:paraId="626CB9BC" w14:textId="77777777" w:rsidR="00F5457B" w:rsidRDefault="00F545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5858"/>
    <w:rsid w:val="00077CB9"/>
    <w:rsid w:val="00097A2F"/>
    <w:rsid w:val="000C0625"/>
    <w:rsid w:val="000C1F21"/>
    <w:rsid w:val="000C7E2F"/>
    <w:rsid w:val="000D3570"/>
    <w:rsid w:val="000E40CC"/>
    <w:rsid w:val="000F56C7"/>
    <w:rsid w:val="001207EC"/>
    <w:rsid w:val="00132300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2AD3"/>
    <w:rsid w:val="00284C5A"/>
    <w:rsid w:val="002A1345"/>
    <w:rsid w:val="002D38B3"/>
    <w:rsid w:val="002F3FD5"/>
    <w:rsid w:val="00303D7D"/>
    <w:rsid w:val="0037781E"/>
    <w:rsid w:val="003C0D54"/>
    <w:rsid w:val="00413D42"/>
    <w:rsid w:val="00445ED8"/>
    <w:rsid w:val="004709CB"/>
    <w:rsid w:val="004D73E0"/>
    <w:rsid w:val="00551762"/>
    <w:rsid w:val="0058354A"/>
    <w:rsid w:val="00590A3A"/>
    <w:rsid w:val="005C389D"/>
    <w:rsid w:val="005D6805"/>
    <w:rsid w:val="005F0ECD"/>
    <w:rsid w:val="006677C5"/>
    <w:rsid w:val="006A5F84"/>
    <w:rsid w:val="006A79FB"/>
    <w:rsid w:val="006C309F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F0B51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2619"/>
    <w:rsid w:val="00D04C34"/>
    <w:rsid w:val="00D91385"/>
    <w:rsid w:val="00D97B4A"/>
    <w:rsid w:val="00DD1E78"/>
    <w:rsid w:val="00E04972"/>
    <w:rsid w:val="00E21828"/>
    <w:rsid w:val="00E4099F"/>
    <w:rsid w:val="00E84A7B"/>
    <w:rsid w:val="00EA7DF3"/>
    <w:rsid w:val="00EB5BCE"/>
    <w:rsid w:val="00ED5DC2"/>
    <w:rsid w:val="00EF419D"/>
    <w:rsid w:val="00F078E4"/>
    <w:rsid w:val="00F22745"/>
    <w:rsid w:val="00F5457B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00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8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Daniel Marques</dc:creator>
  <cp:lastModifiedBy>HENRIQUE LEVY</cp:lastModifiedBy>
  <cp:revision>34</cp:revision>
  <cp:lastPrinted>2026-03-03T18:32:00Z</cp:lastPrinted>
  <dcterms:created xsi:type="dcterms:W3CDTF">2025-03-24T14:40:00Z</dcterms:created>
  <dcterms:modified xsi:type="dcterms:W3CDTF">2026-04-14T15:27:00Z</dcterms:modified>
</cp:coreProperties>
</file>