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E153AD">
        <w:rPr>
          <w:rFonts w:ascii="Calibri" w:eastAsia="Arial Unicode MS" w:hAnsi="Calibri"/>
          <w:b/>
          <w:sz w:val="28"/>
          <w:szCs w:val="28"/>
          <w:u w:val="single"/>
        </w:rPr>
        <w:t>2</w:t>
      </w:r>
      <w:r w:rsidR="00B06C57">
        <w:rPr>
          <w:rFonts w:ascii="Calibri" w:eastAsia="Arial Unicode MS" w:hAnsi="Calibri"/>
          <w:b/>
          <w:sz w:val="28"/>
          <w:szCs w:val="28"/>
          <w:u w:val="single"/>
        </w:rPr>
        <w:t>7</w:t>
      </w:r>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014D0E">
        <w:rPr>
          <w:rFonts w:ascii="Calibri" w:eastAsia="Arial Unicode MS" w:hAnsi="Calibri"/>
          <w:b/>
          <w:sz w:val="28"/>
          <w:szCs w:val="28"/>
          <w:u w:val="single"/>
        </w:rPr>
        <w:t>1</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3A647A" w:rsidRDefault="003A647A" w:rsidP="00B90199">
      <w:pPr>
        <w:jc w:val="center"/>
        <w:rPr>
          <w:rFonts w:ascii="Ebrima" w:eastAsia="Arial Unicode MS" w:hAnsi="Ebrima" w:cs="Tahoma"/>
          <w:b/>
          <w:color w:val="000000"/>
          <w:sz w:val="22"/>
          <w:szCs w:val="22"/>
          <w:u w:val="single"/>
        </w:rPr>
      </w:pPr>
    </w:p>
    <w:p w:rsidR="00E153AD" w:rsidRPr="00545118" w:rsidRDefault="00B06C57" w:rsidP="00E153AD">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w:t>
      </w:r>
      <w:r w:rsidR="00E153AD" w:rsidRPr="00545118">
        <w:rPr>
          <w:rFonts w:ascii="Ebrima" w:eastAsia="Arial Unicode MS" w:hAnsi="Ebrima" w:cs="Tahoma"/>
          <w:b/>
          <w:color w:val="000000"/>
          <w:sz w:val="22"/>
          <w:szCs w:val="22"/>
          <w:u w:val="single"/>
        </w:rPr>
        <w:t>DISCUSSÃO</w:t>
      </w:r>
      <w:r>
        <w:rPr>
          <w:rFonts w:ascii="Ebrima" w:eastAsia="Arial Unicode MS" w:hAnsi="Ebrima" w:cs="Tahoma"/>
          <w:b/>
          <w:color w:val="000000"/>
          <w:sz w:val="22"/>
          <w:szCs w:val="22"/>
          <w:u w:val="single"/>
        </w:rPr>
        <w:t xml:space="preserve"> ÚNICA</w:t>
      </w:r>
      <w:r w:rsidR="00E153AD" w:rsidRPr="00545118">
        <w:rPr>
          <w:rFonts w:ascii="Ebrima" w:eastAsia="Arial Unicode MS" w:hAnsi="Ebrima" w:cs="Tahoma"/>
          <w:b/>
          <w:color w:val="000000"/>
          <w:sz w:val="22"/>
          <w:szCs w:val="22"/>
          <w:u w:val="single"/>
        </w:rPr>
        <w:t>:</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319</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CAPITÃO DA POLÍCIA MILITAR DO ESTADO DO RIO DE JANEIRO, PEDRO JORGE DA SILVA SOARES.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320</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CAPITÃO DA POLÍCIA MILITAR DO ESTADO DO RIO DE JANEIRO, JORGE LUIS DE ARAÚJO NEVES.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bookmarkStart w:id="0" w:name="_GoBack"/>
      <w:bookmarkEnd w:id="0"/>
      <w:r w:rsidRPr="00AB162C">
        <w:rPr>
          <w:rFonts w:ascii="Ebrima" w:hAnsi="Ebrima" w:cs="Arial"/>
          <w:b/>
          <w:color w:val="000000"/>
          <w:sz w:val="22"/>
          <w:szCs w:val="22"/>
        </w:rPr>
        <w:t xml:space="preserve"> Nº </w:t>
      </w:r>
      <w:r w:rsidR="00D26200">
        <w:rPr>
          <w:rFonts w:ascii="Ebrima" w:hAnsi="Ebrima" w:cs="Arial"/>
          <w:b/>
          <w:color w:val="000000"/>
          <w:sz w:val="22"/>
          <w:szCs w:val="22"/>
        </w:rPr>
        <w:t>321</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MAJOR DA POLÍCIA MILITAR DO ESTADO DO RIO DE JANEIRO, ERIC MORSE CARDOSO DE SOUZA.</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760EF0" w:rsidRPr="00545118" w:rsidRDefault="00760EF0" w:rsidP="00760EF0">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1º </w:t>
      </w:r>
      <w:r w:rsidRPr="00545118">
        <w:rPr>
          <w:rFonts w:ascii="Ebrima" w:eastAsia="Arial Unicode MS" w:hAnsi="Ebrima" w:cs="Tahoma"/>
          <w:b/>
          <w:color w:val="000000"/>
          <w:sz w:val="22"/>
          <w:szCs w:val="22"/>
          <w:u w:val="single"/>
        </w:rPr>
        <w:t>DISCUSSÃO:</w:t>
      </w:r>
    </w:p>
    <w:p w:rsidR="00760EF0" w:rsidRDefault="00760EF0" w:rsidP="00A438CE">
      <w:pPr>
        <w:rPr>
          <w:rFonts w:ascii="Ebrima" w:eastAsia="Arial Unicode MS" w:hAnsi="Ebrima" w:cs="Tahoma"/>
          <w:b/>
          <w:color w:val="000000"/>
          <w:sz w:val="22"/>
          <w:szCs w:val="22"/>
          <w:u w:val="single"/>
        </w:rPr>
      </w:pPr>
    </w:p>
    <w:p w:rsidR="00760EF0" w:rsidRPr="00AB162C" w:rsidRDefault="00760EF0" w:rsidP="00760EF0">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195</w:t>
      </w:r>
      <w:r w:rsidRPr="00AB162C">
        <w:rPr>
          <w:rFonts w:ascii="Ebrima" w:hAnsi="Ebrima" w:cs="Arial"/>
          <w:b/>
          <w:color w:val="000000"/>
          <w:sz w:val="22"/>
          <w:szCs w:val="22"/>
        </w:rPr>
        <w:t xml:space="preserve">/2024 </w:t>
      </w:r>
    </w:p>
    <w:p w:rsidR="00760EF0" w:rsidRPr="00AB162C" w:rsidRDefault="00760EF0" w:rsidP="00760EF0">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760EF0">
        <w:rPr>
          <w:rFonts w:ascii="Ebrima" w:hAnsi="Ebrima" w:cs="Arial"/>
          <w:color w:val="000000"/>
          <w:sz w:val="22"/>
          <w:szCs w:val="22"/>
        </w:rPr>
        <w:t>FICA INCLUÍDO NO CALENDÁRIO OFICIAL DE EVENTOS DO MUNICÍPIO DE NITERÓI A REALIZAÇÃO ANUAL DO “TORNEIO INTERCLUBES DE NITERÓI”.</w:t>
      </w:r>
    </w:p>
    <w:p w:rsidR="00760EF0" w:rsidRDefault="00760EF0" w:rsidP="00760EF0">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760EF0" w:rsidRDefault="00760EF0" w:rsidP="00A438CE">
      <w:pPr>
        <w:rPr>
          <w:rFonts w:ascii="Ebrima" w:eastAsia="Arial Unicode MS" w:hAnsi="Ebrima" w:cs="Tahoma"/>
          <w:b/>
          <w:color w:val="000000"/>
          <w:sz w:val="22"/>
          <w:szCs w:val="22"/>
          <w:u w:val="single"/>
        </w:rPr>
      </w:pPr>
    </w:p>
    <w:p w:rsidR="00760EF0" w:rsidRPr="00AB162C" w:rsidRDefault="00760EF0" w:rsidP="00760EF0">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220</w:t>
      </w:r>
      <w:r w:rsidRPr="00AB162C">
        <w:rPr>
          <w:rFonts w:ascii="Ebrima" w:hAnsi="Ebrima" w:cs="Arial"/>
          <w:b/>
          <w:color w:val="000000"/>
          <w:sz w:val="22"/>
          <w:szCs w:val="22"/>
        </w:rPr>
        <w:t xml:space="preserve">/2024 </w:t>
      </w:r>
    </w:p>
    <w:p w:rsidR="00760EF0" w:rsidRPr="00AB162C" w:rsidRDefault="00760EF0" w:rsidP="00760EF0">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760EF0">
        <w:rPr>
          <w:rFonts w:ascii="Ebrima" w:hAnsi="Ebrima" w:cs="Arial"/>
          <w:color w:val="000000"/>
          <w:sz w:val="22"/>
          <w:szCs w:val="22"/>
        </w:rPr>
        <w:t>DISPÕE SOBRE TOMBAMENTO IMATERIAL DO CLUBE HUMAITA ATLÉTICO CLUBE</w:t>
      </w:r>
    </w:p>
    <w:p w:rsidR="00760EF0" w:rsidRDefault="00760EF0" w:rsidP="00760EF0">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GALLO</w:t>
      </w:r>
    </w:p>
    <w:p w:rsidR="00760EF0" w:rsidRDefault="00760EF0" w:rsidP="00760EF0">
      <w:pPr>
        <w:rPr>
          <w:rFonts w:ascii="Ebrima" w:hAnsi="Ebrima" w:cs="Arial"/>
          <w:b/>
          <w:color w:val="000000"/>
          <w:sz w:val="22"/>
          <w:szCs w:val="22"/>
        </w:rPr>
      </w:pPr>
      <w:r>
        <w:rPr>
          <w:rFonts w:ascii="Ebrima" w:hAnsi="Ebrima" w:cs="Arial"/>
          <w:b/>
          <w:color w:val="000000"/>
          <w:sz w:val="22"/>
          <w:szCs w:val="22"/>
        </w:rPr>
        <w:t>COAUTOR: PAULO EDUARDO GOMES</w:t>
      </w:r>
    </w:p>
    <w:p w:rsidR="00760EF0" w:rsidRDefault="00760EF0" w:rsidP="00A438CE">
      <w:pPr>
        <w:rPr>
          <w:rFonts w:ascii="Ebrima" w:eastAsia="Arial Unicode MS" w:hAnsi="Ebrima" w:cs="Tahoma"/>
          <w:b/>
          <w:color w:val="000000"/>
          <w:sz w:val="22"/>
          <w:szCs w:val="22"/>
          <w:u w:val="single"/>
        </w:rPr>
      </w:pPr>
    </w:p>
    <w:p w:rsidR="00A438CE" w:rsidRPr="00545118"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232CBF" w:rsidRPr="00545118" w:rsidRDefault="00232CBF" w:rsidP="00FA44EE">
      <w:pPr>
        <w:rPr>
          <w:rFonts w:ascii="Ebrima" w:hAnsi="Ebrima" w:cs="Arial"/>
          <w:b/>
          <w:color w:val="000000"/>
          <w:sz w:val="22"/>
          <w:szCs w:val="22"/>
        </w:rPr>
      </w:pPr>
    </w:p>
    <w:p w:rsidR="00AB162C" w:rsidRPr="00AB162C" w:rsidRDefault="00A438CE" w:rsidP="00E153AD">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D26200" w:rsidRDefault="00D26200" w:rsidP="00FA44EE">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eastAsia="Arial Unicode MS" w:hAnsi="Ebrima" w:cs="Tahoma"/>
          <w:b/>
          <w:color w:val="000000"/>
          <w:sz w:val="22"/>
          <w:szCs w:val="22"/>
          <w:u w:val="single"/>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lastRenderedPageBreak/>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PAGE</w:t>
    </w:r>
    <w:proofErr w:type="gramStart"/>
    <w:r>
      <w:rPr>
        <w:rStyle w:val="Nmerodepgina"/>
      </w:rPr>
      <w:t xml:space="preserve">  </w:t>
    </w:r>
  </w:p>
  <w:p w:rsidR="00760EF0" w:rsidRDefault="00760EF0">
    <w:pPr>
      <w:pStyle w:val="Cabealho"/>
      <w:ind w:right="360"/>
    </w:pP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48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DFC1-C430-4B14-B465-9520EF5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354</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user</cp:lastModifiedBy>
  <cp:revision>5</cp:revision>
  <cp:lastPrinted>2024-11-26T22:22:00Z</cp:lastPrinted>
  <dcterms:created xsi:type="dcterms:W3CDTF">2024-11-26T21:04:00Z</dcterms:created>
  <dcterms:modified xsi:type="dcterms:W3CDTF">2024-11-27T16:02:00Z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